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0"/>
        <w:gridCol w:w="5700"/>
      </w:tblGrid>
      <w:tr w:rsidR="00051AC1" w:rsidRPr="00051AC1" w:rsidTr="00051AC1">
        <w:tc>
          <w:tcPr>
            <w:tcW w:w="5670" w:type="dxa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No………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AC1" w:rsidRPr="00051AC1" w:rsidTr="00051AC1">
        <w:tc>
          <w:tcPr>
            <w:tcW w:w="5670" w:type="dxa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allowed : 3 hours</w:t>
            </w:r>
          </w:p>
        </w:tc>
        <w:tc>
          <w:tcPr>
            <w:tcW w:w="5670" w:type="dxa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 marks : 100</w:t>
            </w:r>
          </w:p>
        </w:tc>
      </w:tr>
      <w:tr w:rsidR="00051AC1" w:rsidRPr="00051AC1" w:rsidTr="00051AC1"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questions : 8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printed pages : 2</w:t>
            </w:r>
          </w:p>
        </w:tc>
      </w:tr>
    </w:tbl>
    <w:p w:rsidR="00051AC1" w:rsidRPr="00051AC1" w:rsidRDefault="00051AC1" w:rsidP="00051AC1">
      <w:pPr>
        <w:spacing w:after="0" w:line="270" w:lineRule="atLeast"/>
        <w:rPr>
          <w:rFonts w:ascii="Verdana" w:eastAsia="Times New Roman" w:hAnsi="Verdana" w:cs="Times New Roman"/>
          <w:vanish/>
          <w:color w:val="000000"/>
          <w:sz w:val="17"/>
        </w:rPr>
      </w:pP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051AC1" w:rsidRPr="00051AC1" w:rsidTr="00051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— A</w:t>
            </w:r>
          </w:p>
        </w:tc>
      </w:tr>
      <w:tr w:rsidR="00051AC1" w:rsidRPr="00051AC1" w:rsidTr="00051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(Answer Question No.1 which is compulsory</w:t>
            </w: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and </w:t>
            </w:r>
            <w:r w:rsidRPr="00051A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any three</w:t>
            </w: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of the rest from this part)</w:t>
            </w:r>
          </w:p>
        </w:tc>
      </w:tr>
    </w:tbl>
    <w:p w:rsidR="00051AC1" w:rsidRPr="00051AC1" w:rsidRDefault="00051AC1" w:rsidP="00051AC1">
      <w:pPr>
        <w:spacing w:after="0" w:line="270" w:lineRule="atLeast"/>
        <w:rPr>
          <w:rFonts w:ascii="Verdana" w:eastAsia="Times New Roman" w:hAnsi="Verdana" w:cs="Times New Roman"/>
          <w:vanish/>
          <w:color w:val="000000"/>
          <w:sz w:val="17"/>
        </w:rPr>
      </w:pPr>
    </w:p>
    <w:tbl>
      <w:tblPr>
        <w:tblW w:w="1125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"/>
        <w:gridCol w:w="370"/>
        <w:gridCol w:w="450"/>
        <w:gridCol w:w="9642"/>
        <w:gridCol w:w="150"/>
        <w:gridCol w:w="322"/>
      </w:tblGrid>
      <w:tr w:rsidR="00051AC1" w:rsidRPr="00051AC1" w:rsidTr="00051AC1">
        <w:trPr>
          <w:tblCellSpacing w:w="0" w:type="dxa"/>
          <w:jc w:val="center"/>
        </w:trPr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gridSpan w:val="2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State, with reasons in brief, whether the following statements are true or false :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‘Derivatives’ are contracts which do not derive their value from any assets.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Trustees are required to disclose the basis of calculation of repurchase price and NAV of various schemes of</w:t>
            </w:r>
            <w:hyperlink r:id="rId6" w:history="1">
              <w:r w:rsidRPr="00051AC1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</w:rPr>
                <w:t>mutual fund</w:t>
              </w:r>
            </w:hyperlink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Participatory notes are derivative instruments.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‘Underwriter’ means a person who engages in the business of selling of an issue of </w:t>
            </w:r>
            <w:hyperlink r:id="rId7" w:history="1">
              <w:r w:rsidRPr="00051AC1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</w:rPr>
                <w:t>securities</w:t>
              </w:r>
            </w:hyperlink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of a body corporate.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The collective </w:t>
            </w:r>
            <w:hyperlink r:id="rId8" w:history="1">
              <w:r w:rsidRPr="00051AC1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</w:rPr>
                <w:t>investment management company</w:t>
              </w:r>
            </w:hyperlink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is not permitted to launch any scheme for the purpose of</w:t>
            </w:r>
            <w:hyperlink r:id="rId9" w:history="1">
              <w:r w:rsidRPr="00051AC1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</w:rPr>
                <w:t>investing in</w:t>
              </w:r>
            </w:hyperlink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securities.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marks each)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gridSpan w:val="2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most appropriate answer from the given options in respect of the following :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A company cannot buy-back the securities from —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"/>
              <w:gridCol w:w="2710"/>
            </w:tblGrid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Free reserves</w:t>
                  </w:r>
                </w:p>
              </w:tc>
            </w:tr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Securities premium account</w:t>
                  </w:r>
                </w:p>
              </w:tc>
            </w:tr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Borrowed money</w:t>
                  </w:r>
                </w:p>
              </w:tc>
            </w:tr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Proceeds of fresh issue.</w:t>
                  </w:r>
                </w:p>
              </w:tc>
            </w:tr>
          </w:tbl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Duration of </w:t>
            </w:r>
            <w:hyperlink r:id="rId10" w:history="1">
              <w:r w:rsidRPr="00051AC1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</w:rPr>
                <w:t>future contract</w:t>
              </w:r>
            </w:hyperlink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on NSE is —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"/>
              <w:gridCol w:w="1357"/>
            </w:tblGrid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month</w:t>
                  </w:r>
                </w:p>
              </w:tc>
            </w:tr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Two months</w:t>
                  </w:r>
                </w:p>
              </w:tc>
            </w:tr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Three months</w:t>
                  </w:r>
                </w:p>
              </w:tc>
            </w:tr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Six months.</w:t>
                  </w:r>
                </w:p>
              </w:tc>
            </w:tr>
          </w:tbl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of deposits are issued in the form of —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"/>
              <w:gridCol w:w="2443"/>
            </w:tblGrid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Bill of exchange</w:t>
                  </w:r>
                </w:p>
              </w:tc>
            </w:tr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Usance bill of exchange</w:t>
                  </w:r>
                </w:p>
              </w:tc>
            </w:tr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Usance promissory notes</w:t>
                  </w:r>
                </w:p>
              </w:tc>
            </w:tr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Term deposit.</w:t>
                  </w:r>
                </w:p>
              </w:tc>
            </w:tr>
          </w:tbl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Venture capital funds are regulated by —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"/>
              <w:gridCol w:w="2937"/>
            </w:tblGrid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RBI</w:t>
                  </w:r>
                </w:p>
              </w:tc>
            </w:tr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SEBI</w:t>
                  </w:r>
                </w:p>
              </w:tc>
            </w:tr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Stock exchange</w:t>
                  </w:r>
                </w:p>
              </w:tc>
            </w:tr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Ministry of Corporate Affairs.</w:t>
                  </w:r>
                </w:p>
              </w:tc>
            </w:tr>
          </w:tbl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FCCBs are unsecured and carry interest at —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"/>
              <w:gridCol w:w="1590"/>
            </w:tblGrid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Variable rate</w:t>
                  </w:r>
                </w:p>
              </w:tc>
            </w:tr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Fixed rate</w:t>
                  </w:r>
                </w:p>
              </w:tc>
            </w:tr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Floating rate</w:t>
                  </w:r>
                </w:p>
              </w:tc>
            </w:tr>
            <w:tr w:rsidR="00051AC1" w:rsidRPr="00051AC1"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AC1" w:rsidRPr="00051AC1" w:rsidRDefault="00051AC1" w:rsidP="00051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determined.</w:t>
                  </w:r>
                </w:p>
              </w:tc>
            </w:tr>
          </w:tbl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 mark each)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gridSpan w:val="2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Distinguish between </w:t>
            </w: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any two</w:t>
            </w: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following :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‘French auction’ and ‘Dutch auction‘.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‘Cut off yield’ and ‘cut off price’.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‘Initial margin’ and ‘maintenance margin’.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(4 marks each)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"Certain securities are not available to a company for buy–back." Explain.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(4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gridSpan w:val="2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Expand the following :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FCCB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CIS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SPN.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 mark each)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gridSpan w:val="2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Write short notes on </w:t>
            </w: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any four</w:t>
            </w: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following :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Dual option warrants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Securities Appellate Tribunal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Escrow account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Hybrid instrument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Exchange traded fund.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Exchange traded fund.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marks each)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procedure for grant of registration certificate to venture capital fund by SEBI and effect of refusal to grant the certificate.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(4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term ‘demat’. State the benefits of demat securities.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What action lies against SEBI registered intermediaries in case of default/violation under the SEBI Act, 1992 ?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(4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Briefly discuss the guidelines for issue of commercial paper.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(4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"Corporate Governance is the application of best management practices." Comment.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(4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0" w:type="auto"/>
            <w:gridSpan w:val="2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following credit rating symbols —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ER1A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ER1C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M1.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gridSpan w:val="2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following terms related to capital market :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Incubators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Angel investors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Private equity players.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marks each)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Ajay purchases 8.4% Government of India Bond, 2018 of face value of Rs.20 lakh @ Rs.102.50 for every unit of security having face value of Rs.100. The </w:t>
            </w:r>
            <w:hyperlink r:id="rId11" w:history="1">
              <w:r w:rsidRPr="00051AC1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</w:rPr>
                <w:t>settlement</w:t>
              </w:r>
            </w:hyperlink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is due on 13th October, 2009. What is the amount to be paid by Ajay ? (Assuming that interest is payable on 13th May and 13th November every year.)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Discuss the regulatory framework governing primary market intermediaries.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(4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1AC1" w:rsidRPr="00051AC1" w:rsidRDefault="00051AC1" w:rsidP="00051AC1">
      <w:pPr>
        <w:spacing w:after="0" w:line="270" w:lineRule="atLeast"/>
        <w:rPr>
          <w:rFonts w:ascii="Verdana" w:eastAsia="Times New Roman" w:hAnsi="Verdana" w:cs="Times New Roman"/>
          <w:vanish/>
          <w:color w:val="000000"/>
          <w:sz w:val="17"/>
        </w:rPr>
      </w:pP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051AC1" w:rsidRPr="00051AC1" w:rsidTr="00051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— B</w:t>
            </w:r>
          </w:p>
        </w:tc>
      </w:tr>
      <w:tr w:rsidR="00051AC1" w:rsidRPr="00051AC1" w:rsidTr="00051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(Answer ANY TWO questions from this part.)</w:t>
            </w:r>
          </w:p>
        </w:tc>
      </w:tr>
    </w:tbl>
    <w:p w:rsidR="00051AC1" w:rsidRPr="00051AC1" w:rsidRDefault="00051AC1" w:rsidP="00051AC1">
      <w:pPr>
        <w:spacing w:after="0" w:line="270" w:lineRule="atLeast"/>
        <w:rPr>
          <w:rFonts w:ascii="Verdana" w:eastAsia="Times New Roman" w:hAnsi="Verdana" w:cs="Times New Roman"/>
          <w:vanish/>
          <w:color w:val="000000"/>
          <w:sz w:val="17"/>
        </w:rPr>
      </w:pPr>
    </w:p>
    <w:tbl>
      <w:tblPr>
        <w:tblW w:w="1125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5"/>
        <w:gridCol w:w="370"/>
        <w:gridCol w:w="10113"/>
        <w:gridCol w:w="150"/>
        <w:gridCol w:w="322"/>
      </w:tblGrid>
      <w:tr w:rsidR="00051AC1" w:rsidRPr="00051AC1" w:rsidTr="00051AC1">
        <w:trPr>
          <w:tblCellSpacing w:w="0" w:type="dxa"/>
          <w:jc w:val="center"/>
        </w:trPr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Indian Depository Receipt (IDR) ? What are eligibility criteria for issue of IDRs ?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‘price stabilization fund’?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Write a note on ‘due diligence’ in the process of public issue of securities.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State the powers and functions of the ‘Ombudsman’ under the SEBI (Ombudsman) Regulations, 2003.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What do you understand by ‘offering circular’ for Euro–issue ? Mention any five aspects which should be covered in the offering circular.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disclosures in the Directors’ Report as per the SEBI (Employee Stock Option Scheme and Employee Stock Purchase Scheme) Guidelines, 1999 ?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procedure of bidding in book building issue.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Discuss the approvals required from various authorities in issuance of GDRs and FCCBs.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"SEBI expects the investors to make investments with their eyes and ears open." Comment.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Discuss the end use of external commercial borrowings under approval route.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Discuss the various formalities to be complied with for the issue of bonus shares under the SEBI (Disclosure and Investor Protection) Guidelines, 2000.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51AC1" w:rsidRPr="00051AC1" w:rsidRDefault="00051AC1" w:rsidP="00051AC1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051AC1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051AC1" w:rsidRPr="00051AC1" w:rsidTr="00051A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(10 marks)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AC1" w:rsidRPr="00051AC1" w:rsidRDefault="00051AC1" w:rsidP="0005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3C1C" w:rsidRDefault="00753C1C"/>
    <w:sectPr w:rsidR="00753C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1C" w:rsidRDefault="00753C1C" w:rsidP="00051AC1">
      <w:pPr>
        <w:spacing w:after="0" w:line="240" w:lineRule="auto"/>
      </w:pPr>
      <w:r>
        <w:separator/>
      </w:r>
    </w:p>
  </w:endnote>
  <w:endnote w:type="continuationSeparator" w:id="1">
    <w:p w:rsidR="00753C1C" w:rsidRDefault="00753C1C" w:rsidP="0005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C1" w:rsidRDefault="00051A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C1" w:rsidRDefault="00051A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C1" w:rsidRDefault="00051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1C" w:rsidRDefault="00753C1C" w:rsidP="00051AC1">
      <w:pPr>
        <w:spacing w:after="0" w:line="240" w:lineRule="auto"/>
      </w:pPr>
      <w:r>
        <w:separator/>
      </w:r>
    </w:p>
  </w:footnote>
  <w:footnote w:type="continuationSeparator" w:id="1">
    <w:p w:rsidR="00753C1C" w:rsidRDefault="00753C1C" w:rsidP="0005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C1" w:rsidRDefault="00051A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C1" w:rsidRDefault="00051AC1">
    <w:pPr>
      <w:pStyle w:val="Header"/>
    </w:pPr>
    <w:r>
      <w:t>June 2009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C1" w:rsidRDefault="00051A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AC1"/>
    <w:rsid w:val="00051AC1"/>
    <w:rsid w:val="0075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51AC1"/>
  </w:style>
  <w:style w:type="character" w:styleId="Strong">
    <w:name w:val="Strong"/>
    <w:basedOn w:val="DefaultParagraphFont"/>
    <w:uiPriority w:val="22"/>
    <w:qFormat/>
    <w:rsid w:val="00051AC1"/>
    <w:rPr>
      <w:b/>
      <w:bCs/>
    </w:rPr>
  </w:style>
  <w:style w:type="character" w:styleId="Emphasis">
    <w:name w:val="Emphasis"/>
    <w:basedOn w:val="DefaultParagraphFont"/>
    <w:uiPriority w:val="20"/>
    <w:qFormat/>
    <w:rsid w:val="00051AC1"/>
    <w:rPr>
      <w:i/>
      <w:iCs/>
    </w:rPr>
  </w:style>
  <w:style w:type="character" w:customStyle="1" w:styleId="apple-converted-space">
    <w:name w:val="apple-converted-space"/>
    <w:basedOn w:val="DefaultParagraphFont"/>
    <w:rsid w:val="00051AC1"/>
  </w:style>
  <w:style w:type="character" w:customStyle="1" w:styleId="klink">
    <w:name w:val="klink"/>
    <w:basedOn w:val="DefaultParagraphFont"/>
    <w:rsid w:val="00051AC1"/>
  </w:style>
  <w:style w:type="paragraph" w:styleId="Header">
    <w:name w:val="header"/>
    <w:basedOn w:val="Normal"/>
    <w:link w:val="HeaderChar"/>
    <w:uiPriority w:val="99"/>
    <w:semiHidden/>
    <w:unhideWhenUsed/>
    <w:rsid w:val="0005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AC1"/>
  </w:style>
  <w:style w:type="paragraph" w:styleId="Footer">
    <w:name w:val="footer"/>
    <w:basedOn w:val="Normal"/>
    <w:link w:val="FooterChar"/>
    <w:uiPriority w:val="99"/>
    <w:semiHidden/>
    <w:unhideWhenUsed/>
    <w:rsid w:val="0005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accountant.com/exam-question-previous-papers/2008-cs-ep-module-ii_securities-laws-and-compliances-june-2009/p1l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tureaccountant.com/exam-question-previous-papers/2008-cs-ep-module-ii_securities-laws-and-compliances-june-2009/p1ls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futureaccountant.com/exam-question-previous-papers/2008-cs-ep-module-ii_securities-laws-and-compliances-june-2009/p1ls/" TargetMode="External"/><Relationship Id="rId11" Type="http://schemas.openxmlformats.org/officeDocument/2006/relationships/hyperlink" Target="http://www.futureaccountant.com/exam-question-previous-papers/2008-cs-ep-module-ii_securities-laws-and-compliances-june-2009/p1ls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futureaccountant.com/exam-question-previous-papers/2008-cs-ep-module-ii_securities-laws-and-compliances-june-2009/p1ls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utureaccountant.com/exam-question-previous-papers/2008-cs-ep-module-ii_securities-laws-and-compliances-june-2009/p1l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5284</Characters>
  <Application>Microsoft Office Word</Application>
  <DocSecurity>0</DocSecurity>
  <Lines>44</Lines>
  <Paragraphs>12</Paragraphs>
  <ScaleCrop>false</ScaleCrop>
  <Company>http://sharingcentre.info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2011-04-15T03:20:00Z</dcterms:created>
  <dcterms:modified xsi:type="dcterms:W3CDTF">2011-04-15T03:20:00Z</dcterms:modified>
</cp:coreProperties>
</file>