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D2B">
      <w:pP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</w:pP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Hughes,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Dyfrig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A.</w:t>
      </w:r>
      <w:r>
        <w:rPr>
          <w:rStyle w:val="apple-style-span"/>
          <w:rFonts w:ascii="Tahoma" w:hAnsi="Tahoma" w:cs="Tahoma"/>
          <w:color w:val="333333"/>
          <w:sz w:val="11"/>
          <w:szCs w:val="11"/>
          <w:bdr w:val="none" w:sz="0" w:space="0" w:color="auto" w:frame="1"/>
          <w:vertAlign w:val="superscript"/>
        </w:rPr>
        <w:t>1</w:t>
      </w:r>
      <w:r>
        <w:rPr>
          <w:rStyle w:val="apple-converted-space"/>
          <w:rFonts w:ascii="Tahoma" w:hAnsi="Tahoma" w:cs="Tahoma"/>
          <w:i/>
          <w:iCs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HTMLCit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d.a.hughes@bangor.ac.uk</w:t>
      </w: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br/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Bodger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 Keith</w:t>
      </w:r>
      <w:r>
        <w:rPr>
          <w:rStyle w:val="apple-style-span"/>
          <w:rFonts w:ascii="Tahoma" w:hAnsi="Tahoma" w:cs="Tahoma"/>
          <w:color w:val="333333"/>
          <w:sz w:val="11"/>
          <w:szCs w:val="11"/>
          <w:bdr w:val="none" w:sz="0" w:space="0" w:color="auto" w:frame="1"/>
          <w:vertAlign w:val="superscript"/>
        </w:rPr>
        <w:t>2</w:t>
      </w: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br/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Bytzer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 Peter</w:t>
      </w:r>
      <w:r>
        <w:rPr>
          <w:rStyle w:val="apple-style-span"/>
          <w:rFonts w:ascii="Tahoma" w:hAnsi="Tahoma" w:cs="Tahoma"/>
          <w:color w:val="333333"/>
          <w:sz w:val="11"/>
          <w:szCs w:val="11"/>
          <w:bdr w:val="none" w:sz="0" w:space="0" w:color="auto" w:frame="1"/>
          <w:vertAlign w:val="superscript"/>
        </w:rPr>
        <w:t>3</w:t>
      </w: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de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Herdt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 Dirk</w:t>
      </w:r>
      <w:r>
        <w:rPr>
          <w:rStyle w:val="apple-style-span"/>
          <w:rFonts w:ascii="Tahoma" w:hAnsi="Tahoma" w:cs="Tahoma"/>
          <w:color w:val="333333"/>
          <w:sz w:val="11"/>
          <w:szCs w:val="11"/>
          <w:bdr w:val="none" w:sz="0" w:space="0" w:color="auto" w:frame="1"/>
          <w:vertAlign w:val="superscript"/>
        </w:rPr>
        <w:t>4</w:t>
      </w: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Dubois, Dominique,2005,</w:t>
      </w:r>
      <w:r w:rsidRPr="00233D2B"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To evaluate the costs and effectiveness of on-demand maintenance therapy with oral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esomeprazole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lansoprazole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,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pantoprazole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rabeprazole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in patients with endoscopy-confirmed non-erosive reflux disease (NERD) in the UK.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Methods: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A probabilistic model was developed to compare the costs and effectiveness of five proton pump inhibitors (PPIs) in endoscopy-negative, symptomatic NERD patients who had complete resolution of heartburn symptoms following 4 weeks of open-label acute PPI treatment.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The total annual expected costs (euro, 2003 values) and utilities gained per patient were measured over a 1-year horizon from the perspective of the UK NHS.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Model uncertainty was addressed by sensitivity analyses.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Results: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The base-case annual median costs and utilities gained with on-demand PPI therapy were: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euro123 and 0.89 for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rabeprazole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10mg; euro176 and 0.90 for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pantoprazole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20mg; euro190 and 0.89 for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esomeprazole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20mg; euro195 and 0.91 for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lansoprazole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15mg; euro201 and 0.90 for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20mg; and euro210 and 0.91 for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10mg.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Differences in costs, but not in outcomes, were statistically significant.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The results were robust to sensitivity analyses.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Conclusions: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In this analysis, on-demand use of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rabeprazole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for the management of NERD incurred the least cost in comparison with the other PPIs evaluated.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Utility gains were comparable for all on-demand PPIs.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The place of on-demand PPIs in therapy, however, requires further evaluation.</w:t>
      </w:r>
    </w:p>
    <w:p w:rsidR="00233D2B" w:rsidRDefault="00233D2B">
      <w:pP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</w:pP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Prasad, Manishi</w:t>
      </w:r>
      <w:r>
        <w:rPr>
          <w:rStyle w:val="apple-style-span"/>
          <w:rFonts w:ascii="Tahoma" w:hAnsi="Tahoma" w:cs="Tahoma"/>
          <w:color w:val="333333"/>
          <w:sz w:val="11"/>
          <w:szCs w:val="11"/>
          <w:bdr w:val="none" w:sz="0" w:space="0" w:color="auto" w:frame="1"/>
          <w:vertAlign w:val="superscript"/>
        </w:rPr>
        <w:t>1</w:t>
      </w: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br/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Rentz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 Anne M.</w:t>
      </w:r>
      <w:r>
        <w:rPr>
          <w:rStyle w:val="apple-style-span"/>
          <w:rFonts w:ascii="Tahoma" w:hAnsi="Tahoma" w:cs="Tahoma"/>
          <w:color w:val="333333"/>
          <w:sz w:val="11"/>
          <w:szCs w:val="11"/>
          <w:bdr w:val="none" w:sz="0" w:space="0" w:color="auto" w:frame="1"/>
          <w:vertAlign w:val="superscript"/>
        </w:rPr>
        <w:t>1</w:t>
      </w: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br/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Revicki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 Dennis A</w:t>
      </w:r>
      <w:proofErr w:type="gram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,2003</w:t>
      </w:r>
      <w:proofErr w:type="gram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,</w:t>
      </w:r>
      <w:r w:rsidRPr="00233D2B"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Gastro-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oesophageal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reflux disease (GORD) is common in the general population and is diagnosed based on patient-reported symptoms and clinical tests.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Although clinical tests are available, significant percentages of patients report symptoms of heartburn and reflux despite negative endoscopies, and 24-hour pH tests are not often used by primary-care physicians in diagnosis.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Consequently, patient-reported symptoms and health-related QOL (HR-QOL) are important in assessing treatment outcome.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HR-QOL is significantly impaired in patients with GORD, and HR-QOL is associated with symptom severity and changes in GORD-related symptoms.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The objective of this literature review is to examine the impact of pharmacological treatment on HR-QOL in patients with GORD.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Generic and disease-specific HR-QOL measures have been used in clinical trials to evaluate the impact of GORD on patient functioning and well-being.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The Psychological General Well-Being (PGWB) Index and the 36-Item Short-Form Health Survey (SF-36) have been used in several clinical trials of treatment for GORD and have consistently shown that HR-QOL improves with successful therapy.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These trials have been conducted primarily with two pharmacological agents,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and ranitidine.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On the Heartburn-specific Quality of Life questionnaire, patients treated with ranitidine reported better HR-QOL after treatment compared with placebo therapy.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In two clinical trials where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and ranitidine were compared, patients treated with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omeprazole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reported significantly better HR-QOL (based on the PGWB Index) than those treated with ranitidine; however, 2 other trials did not detect significant differences between the treatments.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Results from clinical trials using disease-specific measures (Gastrointestinal Quality of Life Index [GIQLI] and Heartburn-specific Quality of Life questionnaire) demonstrate similar findings, supporting the association between treatment-related symptom resolution and improvements in HR-QOL.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The GIQLI was used in a trial comparing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pantoprazole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and ranitidine, where results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favoured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pantoprazole</w:t>
      </w:r>
      <w:proofErr w:type="spellEnd"/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 xml:space="preserve"> therapy.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Several studies have demonstrated that resolution of GORD symptoms is associated with improvement in HR-QOL.</w:t>
      </w:r>
      <w:r>
        <w:rPr>
          <w:rStyle w:val="apple-converted-space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 </w:t>
      </w:r>
      <w:r>
        <w:rPr>
          <w:rStyle w:val="apple-style-span"/>
          <w:rFonts w:ascii="Tahoma" w:hAnsi="Tahoma" w:cs="Tahoma"/>
          <w:color w:val="333333"/>
          <w:sz w:val="14"/>
          <w:szCs w:val="14"/>
          <w:bdr w:val="none" w:sz="0" w:space="0" w:color="auto" w:frame="1"/>
        </w:rPr>
        <w:t>Although there is evidence that treatment for GORD does improve symptoms and HR-QOL outcomes, further research is needed to more completely understand the value of medical therapy for GORD.</w:t>
      </w:r>
    </w:p>
    <w:p w:rsidR="00233D2B" w:rsidRDefault="00233D2B"/>
    <w:sectPr w:rsidR="0023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233D2B"/>
    <w:rsid w:val="00233D2B"/>
    <w:rsid w:val="00F4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3D2B"/>
  </w:style>
  <w:style w:type="character" w:styleId="HTMLCite">
    <w:name w:val="HTML Cite"/>
    <w:basedOn w:val="DefaultParagraphFont"/>
    <w:uiPriority w:val="99"/>
    <w:semiHidden/>
    <w:unhideWhenUsed/>
    <w:rsid w:val="00233D2B"/>
    <w:rPr>
      <w:i/>
      <w:iCs/>
    </w:rPr>
  </w:style>
  <w:style w:type="character" w:customStyle="1" w:styleId="apple-converted-space">
    <w:name w:val="apple-converted-space"/>
    <w:basedOn w:val="DefaultParagraphFont"/>
    <w:rsid w:val="0023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2</cp:revision>
  <dcterms:created xsi:type="dcterms:W3CDTF">2011-08-18T03:08:00Z</dcterms:created>
  <dcterms:modified xsi:type="dcterms:W3CDTF">2011-08-18T07:08:00Z</dcterms:modified>
</cp:coreProperties>
</file>