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Mar>
          <w:top w:w="15" w:type="dxa"/>
          <w:left w:w="15" w:type="dxa"/>
          <w:bottom w:w="15" w:type="dxa"/>
          <w:right w:w="15" w:type="dxa"/>
        </w:tblCellMar>
        <w:tblLook w:val="04A0"/>
      </w:tblPr>
      <w:tblGrid>
        <w:gridCol w:w="5775"/>
        <w:gridCol w:w="5775"/>
      </w:tblGrid>
      <w:tr w:rsidR="00A6440D" w:rsidRPr="00A6440D" w:rsidTr="00A6440D">
        <w:tc>
          <w:tcPr>
            <w:tcW w:w="5745" w:type="dxa"/>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rebuchet MS" w:eastAsia="Times New Roman" w:hAnsi="Trebuchet MS" w:cs="Times New Roman"/>
                <w:b/>
                <w:bCs/>
                <w:color w:val="333333"/>
                <w:sz w:val="20"/>
              </w:rPr>
              <w:t>Roll No…………</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p>
        </w:tc>
      </w:tr>
      <w:tr w:rsidR="00A6440D" w:rsidRPr="00A6440D" w:rsidTr="00A6440D">
        <w:tc>
          <w:tcPr>
            <w:tcW w:w="5745" w:type="dxa"/>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rebuchet MS" w:eastAsia="Times New Roman" w:hAnsi="Trebuchet MS" w:cs="Times New Roman"/>
                <w:b/>
                <w:bCs/>
                <w:color w:val="333333"/>
                <w:sz w:val="20"/>
              </w:rPr>
              <w:t>Time allowed : 3 hours</w:t>
            </w:r>
          </w:p>
        </w:tc>
        <w:tc>
          <w:tcPr>
            <w:tcW w:w="5745" w:type="dxa"/>
            <w:vAlign w:val="center"/>
            <w:hideMark/>
          </w:tcPr>
          <w:p w:rsidR="00A6440D" w:rsidRPr="00A6440D" w:rsidRDefault="00A6440D" w:rsidP="00A6440D">
            <w:pPr>
              <w:spacing w:after="0" w:line="240" w:lineRule="auto"/>
              <w:jc w:val="center"/>
              <w:rPr>
                <w:rFonts w:ascii="Times New Roman" w:eastAsia="Times New Roman" w:hAnsi="Times New Roman" w:cs="Times New Roman"/>
                <w:sz w:val="24"/>
                <w:szCs w:val="24"/>
              </w:rPr>
            </w:pPr>
            <w:r w:rsidRPr="00A6440D">
              <w:rPr>
                <w:rFonts w:ascii="Trebuchet MS" w:eastAsia="Times New Roman" w:hAnsi="Trebuchet MS" w:cs="Times New Roman"/>
                <w:b/>
                <w:bCs/>
                <w:color w:val="333333"/>
                <w:sz w:val="20"/>
              </w:rPr>
              <w:t>Maximum marks : 100</w:t>
            </w:r>
          </w:p>
        </w:tc>
      </w:tr>
      <w:tr w:rsidR="00A6440D" w:rsidRPr="00A6440D" w:rsidTr="00A6440D">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rebuchet MS" w:eastAsia="Times New Roman" w:hAnsi="Trebuchet MS" w:cs="Times New Roman"/>
                <w:b/>
                <w:bCs/>
                <w:color w:val="333333"/>
                <w:sz w:val="20"/>
              </w:rPr>
              <w:t>Total number of questions : 8</w:t>
            </w:r>
          </w:p>
        </w:tc>
        <w:tc>
          <w:tcPr>
            <w:tcW w:w="0" w:type="auto"/>
            <w:vAlign w:val="center"/>
            <w:hideMark/>
          </w:tcPr>
          <w:p w:rsidR="00A6440D" w:rsidRPr="00A6440D" w:rsidRDefault="00A6440D" w:rsidP="00A6440D">
            <w:pPr>
              <w:spacing w:after="0" w:line="240" w:lineRule="auto"/>
              <w:jc w:val="center"/>
              <w:rPr>
                <w:rFonts w:ascii="Times New Roman" w:eastAsia="Times New Roman" w:hAnsi="Times New Roman" w:cs="Times New Roman"/>
                <w:sz w:val="24"/>
                <w:szCs w:val="24"/>
              </w:rPr>
            </w:pPr>
            <w:r w:rsidRPr="00A6440D">
              <w:rPr>
                <w:rFonts w:ascii="Trebuchet MS" w:eastAsia="Times New Roman" w:hAnsi="Trebuchet MS" w:cs="Times New Roman"/>
                <w:b/>
                <w:bCs/>
                <w:color w:val="333333"/>
                <w:sz w:val="20"/>
              </w:rPr>
              <w:t>Total number of printed pages : 3</w:t>
            </w:r>
          </w:p>
        </w:tc>
      </w:tr>
    </w:tbl>
    <w:p w:rsidR="00A6440D" w:rsidRPr="00A6440D" w:rsidRDefault="00A6440D" w:rsidP="00A6440D">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A6440D" w:rsidRPr="00A6440D" w:rsidTr="00A6440D">
        <w:trPr>
          <w:tblCellSpacing w:w="15" w:type="dxa"/>
        </w:trPr>
        <w:tc>
          <w:tcPr>
            <w:tcW w:w="0" w:type="auto"/>
            <w:vAlign w:val="center"/>
            <w:hideMark/>
          </w:tcPr>
          <w:p w:rsidR="00A6440D" w:rsidRPr="00A6440D" w:rsidRDefault="00A6440D" w:rsidP="00A6440D">
            <w:pPr>
              <w:spacing w:before="75" w:after="75" w:line="240" w:lineRule="auto"/>
              <w:jc w:val="center"/>
              <w:rPr>
                <w:rFonts w:ascii="Times New Roman" w:eastAsia="Times New Roman" w:hAnsi="Times New Roman" w:cs="Times New Roman"/>
                <w:sz w:val="24"/>
                <w:szCs w:val="24"/>
              </w:rPr>
            </w:pPr>
            <w:r w:rsidRPr="00A6440D">
              <w:rPr>
                <w:rFonts w:ascii="Trebuchet MS" w:eastAsia="Times New Roman" w:hAnsi="Trebuchet MS" w:cs="Times New Roman"/>
                <w:b/>
                <w:bCs/>
                <w:i/>
                <w:iCs/>
                <w:color w:val="333333"/>
                <w:sz w:val="20"/>
              </w:rPr>
              <w:t>NOTE :</w:t>
            </w:r>
            <w:r w:rsidRPr="00A6440D">
              <w:rPr>
                <w:rFonts w:ascii="Times New Roman" w:eastAsia="Times New Roman" w:hAnsi="Times New Roman" w:cs="Times New Roman"/>
                <w:i/>
                <w:iCs/>
                <w:sz w:val="24"/>
                <w:szCs w:val="24"/>
              </w:rPr>
              <w:t> Answer SIX questions including Question No.1 which is compulsory.</w:t>
            </w:r>
          </w:p>
        </w:tc>
      </w:tr>
    </w:tbl>
    <w:p w:rsidR="00A6440D" w:rsidRPr="00A6440D" w:rsidRDefault="00A6440D" w:rsidP="00A6440D">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50"/>
        <w:gridCol w:w="450"/>
        <w:gridCol w:w="570"/>
        <w:gridCol w:w="9408"/>
        <w:gridCol w:w="150"/>
        <w:gridCol w:w="322"/>
      </w:tblGrid>
      <w:tr w:rsidR="00A6440D" w:rsidRPr="00A6440D" w:rsidTr="00A6440D">
        <w:trPr>
          <w:tblCellSpacing w:w="0" w:type="dxa"/>
          <w:jc w:val="center"/>
        </w:trPr>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1.</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"Article 14 of the Constitution of India forbids class legislation, but does not forbid classification." Explain the rules with respect to permissible classification as evolved by the </w:t>
            </w:r>
            <w:hyperlink r:id="rId6" w:history="1">
              <w:r w:rsidRPr="00A6440D">
                <w:rPr>
                  <w:rFonts w:ascii="Times New Roman" w:eastAsia="Times New Roman" w:hAnsi="Times New Roman" w:cs="Times New Roman"/>
                  <w:color w:val="0000CD"/>
                  <w:sz w:val="24"/>
                  <w:szCs w:val="24"/>
                  <w:u w:val="single"/>
                </w:rPr>
                <w:t>Supreme Court of India</w:t>
              </w:r>
            </w:hyperlink>
            <w:r w:rsidRPr="00A6440D">
              <w:rPr>
                <w:rFonts w:ascii="Times New Roman" w:eastAsia="Times New Roman" w:hAnsi="Times New Roman" w:cs="Times New Roman"/>
                <w:sz w:val="24"/>
                <w:szCs w:val="24"/>
              </w:rPr>
              <w:t>.</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(8 marks)</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What is writ of </w:t>
            </w:r>
            <w:hyperlink r:id="rId7" w:history="1">
              <w:r w:rsidRPr="00A6440D">
                <w:rPr>
                  <w:rFonts w:ascii="Times New Roman" w:eastAsia="Times New Roman" w:hAnsi="Times New Roman" w:cs="Times New Roman"/>
                  <w:color w:val="0000CD"/>
                  <w:sz w:val="24"/>
                  <w:szCs w:val="24"/>
                  <w:u w:val="single"/>
                </w:rPr>
                <w:t>habeas corpus</w:t>
              </w:r>
            </w:hyperlink>
            <w:r w:rsidRPr="00A6440D">
              <w:rPr>
                <w:rFonts w:ascii="Times New Roman" w:eastAsia="Times New Roman" w:hAnsi="Times New Roman" w:cs="Times New Roman"/>
                <w:sz w:val="24"/>
                <w:szCs w:val="24"/>
              </w:rPr>
              <w:t> ? When can it be issued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(4 marks)</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(c)</w:t>
            </w:r>
          </w:p>
        </w:tc>
        <w:tc>
          <w:tcPr>
            <w:tcW w:w="0" w:type="auto"/>
            <w:gridSpan w:val="2"/>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Re–write the following sentences after filling–up the blank spaces with appropriate word(s)/figure(s):</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An instrument chargeable with duty executed out of India may be stamped within ___________ month(s) after it has been first received in India.</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Alam owes Balu Rs.1,000. Alam sells a property to Balu, the consideration being Rs.500 and the release of the previous debt of Rs.1,000. Stamp duty would be payable on Rs. _________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Attestation is valid and complete when ___________ witnesses sign the instrument.</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No sentence of </w:t>
            </w:r>
            <w:hyperlink r:id="rId8" w:history="1">
              <w:r w:rsidRPr="00A6440D">
                <w:rPr>
                  <w:rFonts w:ascii="Times New Roman" w:eastAsia="Times New Roman" w:hAnsi="Times New Roman" w:cs="Times New Roman"/>
                  <w:color w:val="0000CD"/>
                  <w:sz w:val="24"/>
                  <w:szCs w:val="24"/>
                  <w:u w:val="single"/>
                </w:rPr>
                <w:t>imprisonment</w:t>
              </w:r>
            </w:hyperlink>
            <w:r w:rsidRPr="00A6440D">
              <w:rPr>
                <w:rFonts w:ascii="Times New Roman" w:eastAsia="Times New Roman" w:hAnsi="Times New Roman" w:cs="Times New Roman"/>
                <w:sz w:val="24"/>
                <w:szCs w:val="24"/>
              </w:rPr>
              <w:t> for a term exceeding _________ shall be passed in any case or instance in a summary trial.</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Interpretation of a statute should not be given a meaning which would make other provisions ___________.</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 person who refuses to receive a registered letter is deemed to have ___________ notice of its contents.</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Doctrine which underlines the general principle that no one shall be vexed twice for the same cause in civil cases is called ___________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(viii)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hyperlink r:id="rId9" w:history="1">
              <w:r w:rsidRPr="00A6440D">
                <w:rPr>
                  <w:rFonts w:ascii="Times New Roman" w:eastAsia="Times New Roman" w:hAnsi="Times New Roman" w:cs="Times New Roman"/>
                  <w:color w:val="0000CD"/>
                  <w:sz w:val="24"/>
                  <w:szCs w:val="24"/>
                  <w:u w:val="single"/>
                </w:rPr>
                <w:t>High Court</w:t>
              </w:r>
            </w:hyperlink>
            <w:r w:rsidRPr="00A6440D">
              <w:rPr>
                <w:rFonts w:ascii="Times New Roman" w:eastAsia="Times New Roman" w:hAnsi="Times New Roman" w:cs="Times New Roman"/>
                <w:sz w:val="24"/>
                <w:szCs w:val="24"/>
              </w:rPr>
              <w:t> issued an order to the holder of office to show to the court under what authority he holds the office. This writ is called ___________.</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(1 mark each)</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2.</w:t>
            </w:r>
          </w:p>
        </w:tc>
        <w:tc>
          <w:tcPr>
            <w:tcW w:w="0" w:type="auto"/>
            <w:gridSpan w:val="3"/>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Attempt </w:t>
            </w:r>
            <w:r w:rsidRPr="00A6440D">
              <w:rPr>
                <w:rFonts w:ascii="Trebuchet MS" w:eastAsia="Times New Roman" w:hAnsi="Trebuchet MS" w:cs="Times New Roman"/>
                <w:b/>
                <w:bCs/>
                <w:color w:val="333333"/>
                <w:sz w:val="20"/>
              </w:rPr>
              <w:t>any four</w:t>
            </w:r>
            <w:r w:rsidRPr="00A6440D">
              <w:rPr>
                <w:rFonts w:ascii="Times New Roman" w:eastAsia="Times New Roman" w:hAnsi="Times New Roman" w:cs="Times New Roman"/>
                <w:sz w:val="24"/>
                <w:szCs w:val="24"/>
              </w:rPr>
              <w:t> of the following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State the conditions to recover the possession of dispossessed immovable property based merely on possession.</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Mention persons against whom specific performance cannot be enforced.</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What are the essentials of an arbitral award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What is the principle of estoppel under the Indian Evidence Act, 1872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Describe the offence of ‘hacking’ with computer system as provided under the Information Technology Act, 2000.</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(4 marks each)</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3.</w:t>
            </w:r>
          </w:p>
        </w:tc>
        <w:tc>
          <w:tcPr>
            <w:tcW w:w="0" w:type="auto"/>
            <w:gridSpan w:val="3"/>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Explain </w:t>
            </w:r>
            <w:r w:rsidRPr="00A6440D">
              <w:rPr>
                <w:rFonts w:ascii="Trebuchet MS" w:eastAsia="Times New Roman" w:hAnsi="Trebuchet MS" w:cs="Times New Roman"/>
                <w:b/>
                <w:bCs/>
                <w:color w:val="333333"/>
                <w:sz w:val="20"/>
              </w:rPr>
              <w:t>any four</w:t>
            </w:r>
            <w:r w:rsidRPr="00A6440D">
              <w:rPr>
                <w:rFonts w:ascii="Times New Roman" w:eastAsia="Times New Roman" w:hAnsi="Times New Roman" w:cs="Times New Roman"/>
                <w:sz w:val="24"/>
                <w:szCs w:val="24"/>
              </w:rPr>
              <w:t> of the following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Mischief rule.</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lastRenderedPageBreak/>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Doctrine of part–performance.</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Doctrine of election.</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Domain name and passing–off.</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Digital signature.</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(4 marks each)</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4.</w:t>
            </w:r>
          </w:p>
        </w:tc>
        <w:tc>
          <w:tcPr>
            <w:tcW w:w="0" w:type="auto"/>
            <w:gridSpan w:val="3"/>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Distinguish between </w:t>
            </w:r>
            <w:r w:rsidRPr="00A6440D">
              <w:rPr>
                <w:rFonts w:ascii="Trebuchet MS" w:eastAsia="Times New Roman" w:hAnsi="Trebuchet MS" w:cs="Times New Roman"/>
                <w:b/>
                <w:bCs/>
                <w:color w:val="333333"/>
                <w:sz w:val="20"/>
              </w:rPr>
              <w:t>any four</w:t>
            </w:r>
            <w:r w:rsidRPr="00A6440D">
              <w:rPr>
                <w:rFonts w:ascii="Times New Roman" w:eastAsia="Times New Roman" w:hAnsi="Times New Roman" w:cs="Times New Roman"/>
                <w:sz w:val="24"/>
                <w:szCs w:val="24"/>
              </w:rPr>
              <w:t> of the following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‘Judgment’, ‘decree’ and ‘order’.</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‘Set–off’, ‘counter–claim’ and ‘equitable set–off’.</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‘Appeal’, ‘revision’ and ‘review’.</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‘Cognizable offence’ and ‘non–cognizable offence’.</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‘Inquiry’, ‘investigation’ and ‘trial’.</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‘Mortgage’ and ‘charge’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(4 marks each)</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5.</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w:t>
            </w:r>
          </w:p>
        </w:tc>
        <w:tc>
          <w:tcPr>
            <w:tcW w:w="0" w:type="auto"/>
            <w:gridSpan w:val="2"/>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Attempt </w:t>
            </w:r>
            <w:r w:rsidRPr="00A6440D">
              <w:rPr>
                <w:rFonts w:ascii="Trebuchet MS" w:eastAsia="Times New Roman" w:hAnsi="Trebuchet MS" w:cs="Times New Roman"/>
                <w:b/>
                <w:bCs/>
                <w:color w:val="333333"/>
                <w:sz w:val="20"/>
              </w:rPr>
              <w:t>any three</w:t>
            </w:r>
            <w:r w:rsidRPr="00A6440D">
              <w:rPr>
                <w:rFonts w:ascii="Times New Roman" w:eastAsia="Times New Roman" w:hAnsi="Times New Roman" w:cs="Times New Roman"/>
                <w:sz w:val="24"/>
                <w:szCs w:val="24"/>
              </w:rPr>
              <w:t> of the following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When do the statements made under special circumstances become relevant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Specify the manner in which requests may be made by a citizen to the authority for obtaining information under the </w:t>
            </w:r>
            <w:hyperlink r:id="rId10" w:history="1">
              <w:r w:rsidRPr="00A6440D">
                <w:rPr>
                  <w:rFonts w:ascii="Times New Roman" w:eastAsia="Times New Roman" w:hAnsi="Times New Roman" w:cs="Times New Roman"/>
                  <w:color w:val="0000CD"/>
                  <w:sz w:val="24"/>
                  <w:szCs w:val="24"/>
                  <w:u w:val="single"/>
                </w:rPr>
                <w:t>Right to Information Act</w:t>
              </w:r>
            </w:hyperlink>
            <w:r w:rsidRPr="00A6440D">
              <w:rPr>
                <w:rFonts w:ascii="Times New Roman" w:eastAsia="Times New Roman" w:hAnsi="Times New Roman" w:cs="Times New Roman"/>
                <w:sz w:val="24"/>
                <w:szCs w:val="24"/>
              </w:rPr>
              <w:t>, 2005.</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What is a valid acknowledgement under the Limitation Act, 1963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Explain the maxim injuria sine damnum.</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(4 marks each)</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(b)</w:t>
            </w:r>
          </w:p>
        </w:tc>
        <w:tc>
          <w:tcPr>
            <w:tcW w:w="0" w:type="auto"/>
            <w:gridSpan w:val="2"/>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Fill in the blank spaces with the appropriate nomenclature or terminology in the following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 writ issued by the court to some person or body to compel it to perform a public duty is called __________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Where in an enactment, there are two provisions which cannot be reconciled with each other, they should be so interpreted that, if possible, effect may be given to both. This rule of interpretation is called _____________.</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Attack on the reputation of a person is called ___________.</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Normally the tort–feasor is liable for his tort, but in some cases a person may be held liable for the tort committed by another. This is known as ______________.</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6.</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w:t>
            </w:r>
          </w:p>
        </w:tc>
        <w:tc>
          <w:tcPr>
            <w:tcW w:w="0" w:type="auto"/>
            <w:gridSpan w:val="2"/>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Secularism means that the State should – </w:t>
            </w:r>
            <w:r w:rsidRPr="00A6440D">
              <w:rPr>
                <w:rFonts w:ascii="Times New Roman" w:eastAsia="Times New Roman" w:hAnsi="Times New Roman" w:cs="Times New Roman"/>
                <w:sz w:val="24"/>
                <w:szCs w:val="24"/>
              </w:rPr>
              <w:br/>
              <w:t>(a) Have its own religion </w:t>
            </w:r>
            <w:r w:rsidRPr="00A6440D">
              <w:rPr>
                <w:rFonts w:ascii="Times New Roman" w:eastAsia="Times New Roman" w:hAnsi="Times New Roman" w:cs="Times New Roman"/>
                <w:sz w:val="24"/>
                <w:szCs w:val="24"/>
              </w:rPr>
              <w:br/>
              <w:t>(b) Ignore all religions </w:t>
            </w:r>
            <w:r w:rsidRPr="00A6440D">
              <w:rPr>
                <w:rFonts w:ascii="Times New Roman" w:eastAsia="Times New Roman" w:hAnsi="Times New Roman" w:cs="Times New Roman"/>
                <w:sz w:val="24"/>
                <w:szCs w:val="24"/>
              </w:rPr>
              <w:br/>
              <w:t>(c) Have all religions of its own </w:t>
            </w:r>
            <w:r w:rsidRPr="00A6440D">
              <w:rPr>
                <w:rFonts w:ascii="Times New Roman" w:eastAsia="Times New Roman" w:hAnsi="Times New Roman" w:cs="Times New Roman"/>
                <w:sz w:val="24"/>
                <w:szCs w:val="24"/>
              </w:rPr>
              <w:br/>
              <w:t>(d) Have no religion of its own.</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lastRenderedPageBreak/>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The nature of remedy under the </w:t>
            </w:r>
            <w:hyperlink r:id="rId11" w:history="1">
              <w:r w:rsidRPr="00A6440D">
                <w:rPr>
                  <w:rFonts w:ascii="Times New Roman" w:eastAsia="Times New Roman" w:hAnsi="Times New Roman" w:cs="Times New Roman"/>
                  <w:color w:val="0000CD"/>
                  <w:sz w:val="24"/>
                  <w:szCs w:val="24"/>
                  <w:u w:val="single"/>
                </w:rPr>
                <w:t>law</w:t>
              </w:r>
            </w:hyperlink>
            <w:r w:rsidRPr="00A6440D">
              <w:rPr>
                <w:rFonts w:ascii="Times New Roman" w:eastAsia="Times New Roman" w:hAnsi="Times New Roman" w:cs="Times New Roman"/>
                <w:sz w:val="24"/>
                <w:szCs w:val="24"/>
              </w:rPr>
              <w:t> of torts is – </w:t>
            </w:r>
            <w:r w:rsidRPr="00A6440D">
              <w:rPr>
                <w:rFonts w:ascii="Times New Roman" w:eastAsia="Times New Roman" w:hAnsi="Times New Roman" w:cs="Times New Roman"/>
                <w:sz w:val="24"/>
                <w:szCs w:val="24"/>
              </w:rPr>
              <w:br/>
              <w:t>(a) Criminal </w:t>
            </w:r>
            <w:r w:rsidRPr="00A6440D">
              <w:rPr>
                <w:rFonts w:ascii="Times New Roman" w:eastAsia="Times New Roman" w:hAnsi="Times New Roman" w:cs="Times New Roman"/>
                <w:sz w:val="24"/>
                <w:szCs w:val="24"/>
              </w:rPr>
              <w:br/>
              <w:t>(b) Civil </w:t>
            </w:r>
            <w:r w:rsidRPr="00A6440D">
              <w:rPr>
                <w:rFonts w:ascii="Times New Roman" w:eastAsia="Times New Roman" w:hAnsi="Times New Roman" w:cs="Times New Roman"/>
                <w:sz w:val="24"/>
                <w:szCs w:val="24"/>
              </w:rPr>
              <w:br/>
              <w:t>(c) Quasi–criminal </w:t>
            </w:r>
            <w:r w:rsidRPr="00A6440D">
              <w:rPr>
                <w:rFonts w:ascii="Times New Roman" w:eastAsia="Times New Roman" w:hAnsi="Times New Roman" w:cs="Times New Roman"/>
                <w:sz w:val="24"/>
                <w:szCs w:val="24"/>
              </w:rPr>
              <w:br/>
              <w:t>(d) Quasi–civil.</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When there are two types of evidence, one oral and another documentary, which type of evidence shall prevail– </w:t>
            </w:r>
            <w:r w:rsidRPr="00A6440D">
              <w:rPr>
                <w:rFonts w:ascii="Times New Roman" w:eastAsia="Times New Roman" w:hAnsi="Times New Roman" w:cs="Times New Roman"/>
                <w:sz w:val="24"/>
                <w:szCs w:val="24"/>
              </w:rPr>
              <w:br/>
              <w:t>(a) Documentary </w:t>
            </w:r>
            <w:r w:rsidRPr="00A6440D">
              <w:rPr>
                <w:rFonts w:ascii="Times New Roman" w:eastAsia="Times New Roman" w:hAnsi="Times New Roman" w:cs="Times New Roman"/>
                <w:sz w:val="24"/>
                <w:szCs w:val="24"/>
              </w:rPr>
              <w:br/>
              <w:t>(b) Oral </w:t>
            </w:r>
            <w:r w:rsidRPr="00A6440D">
              <w:rPr>
                <w:rFonts w:ascii="Times New Roman" w:eastAsia="Times New Roman" w:hAnsi="Times New Roman" w:cs="Times New Roman"/>
                <w:sz w:val="24"/>
                <w:szCs w:val="24"/>
              </w:rPr>
              <w:br/>
              <w:t>(c) None </w:t>
            </w:r>
            <w:r w:rsidRPr="00A6440D">
              <w:rPr>
                <w:rFonts w:ascii="Times New Roman" w:eastAsia="Times New Roman" w:hAnsi="Times New Roman" w:cs="Times New Roman"/>
                <w:sz w:val="24"/>
                <w:szCs w:val="24"/>
              </w:rPr>
              <w:br/>
              <w:t>(d) Both (a) and (b).</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The Transfer of Property Act, 1882 applies to – </w:t>
            </w:r>
            <w:r w:rsidRPr="00A6440D">
              <w:rPr>
                <w:rFonts w:ascii="Times New Roman" w:eastAsia="Times New Roman" w:hAnsi="Times New Roman" w:cs="Times New Roman"/>
                <w:sz w:val="24"/>
                <w:szCs w:val="24"/>
              </w:rPr>
              <w:br/>
              <w:t>(a) Movable property </w:t>
            </w:r>
            <w:r w:rsidRPr="00A6440D">
              <w:rPr>
                <w:rFonts w:ascii="Times New Roman" w:eastAsia="Times New Roman" w:hAnsi="Times New Roman" w:cs="Times New Roman"/>
                <w:sz w:val="24"/>
                <w:szCs w:val="24"/>
              </w:rPr>
              <w:br/>
              <w:t>(b) Immovable property </w:t>
            </w:r>
            <w:r w:rsidRPr="00A6440D">
              <w:rPr>
                <w:rFonts w:ascii="Times New Roman" w:eastAsia="Times New Roman" w:hAnsi="Times New Roman" w:cs="Times New Roman"/>
                <w:sz w:val="24"/>
                <w:szCs w:val="24"/>
              </w:rPr>
              <w:br/>
              <w:t>(c) Both (a) and (b) </w:t>
            </w:r>
            <w:r w:rsidRPr="00A6440D">
              <w:rPr>
                <w:rFonts w:ascii="Times New Roman" w:eastAsia="Times New Roman" w:hAnsi="Times New Roman" w:cs="Times New Roman"/>
                <w:sz w:val="24"/>
                <w:szCs w:val="24"/>
              </w:rPr>
              <w:br/>
              <w:t>(d) Only to testamentary dealings.</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 do acknowledge myself to be indebted to Bhupesh in Rs.1,000 to be paid on demand for value received", is a– </w:t>
            </w:r>
            <w:r w:rsidRPr="00A6440D">
              <w:rPr>
                <w:rFonts w:ascii="Times New Roman" w:eastAsia="Times New Roman" w:hAnsi="Times New Roman" w:cs="Times New Roman"/>
                <w:sz w:val="24"/>
                <w:szCs w:val="24"/>
              </w:rPr>
              <w:br/>
              <w:t>(a) Bond </w:t>
            </w:r>
            <w:r w:rsidRPr="00A6440D">
              <w:rPr>
                <w:rFonts w:ascii="Times New Roman" w:eastAsia="Times New Roman" w:hAnsi="Times New Roman" w:cs="Times New Roman"/>
                <w:sz w:val="24"/>
                <w:szCs w:val="24"/>
              </w:rPr>
              <w:br/>
              <w:t>(b) Security </w:t>
            </w:r>
            <w:r w:rsidRPr="00A6440D">
              <w:rPr>
                <w:rFonts w:ascii="Times New Roman" w:eastAsia="Times New Roman" w:hAnsi="Times New Roman" w:cs="Times New Roman"/>
                <w:sz w:val="24"/>
                <w:szCs w:val="24"/>
              </w:rPr>
              <w:br/>
              <w:t>(c) Promissory note </w:t>
            </w:r>
            <w:r w:rsidRPr="00A6440D">
              <w:rPr>
                <w:rFonts w:ascii="Times New Roman" w:eastAsia="Times New Roman" w:hAnsi="Times New Roman" w:cs="Times New Roman"/>
                <w:sz w:val="24"/>
                <w:szCs w:val="24"/>
              </w:rPr>
              <w:br/>
              <w:t>(d) Agreement.</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Every breach of contract gives rise to a cause of action and a suit may be instituted to secure proper relief at the place – </w:t>
            </w:r>
            <w:r w:rsidRPr="00A6440D">
              <w:rPr>
                <w:rFonts w:ascii="Times New Roman" w:eastAsia="Times New Roman" w:hAnsi="Times New Roman" w:cs="Times New Roman"/>
                <w:sz w:val="24"/>
                <w:szCs w:val="24"/>
              </w:rPr>
              <w:br/>
              <w:t>(a) Where the contract was made </w:t>
            </w:r>
            <w:r w:rsidRPr="00A6440D">
              <w:rPr>
                <w:rFonts w:ascii="Times New Roman" w:eastAsia="Times New Roman" w:hAnsi="Times New Roman" w:cs="Times New Roman"/>
                <w:sz w:val="24"/>
                <w:szCs w:val="24"/>
              </w:rPr>
              <w:br/>
              <w:t>(b) Where the breach has occurred </w:t>
            </w:r>
            <w:r w:rsidRPr="00A6440D">
              <w:rPr>
                <w:rFonts w:ascii="Times New Roman" w:eastAsia="Times New Roman" w:hAnsi="Times New Roman" w:cs="Times New Roman"/>
                <w:sz w:val="24"/>
                <w:szCs w:val="24"/>
              </w:rPr>
              <w:br/>
              <w:t>(c) Where money is payable </w:t>
            </w:r>
            <w:r w:rsidRPr="00A6440D">
              <w:rPr>
                <w:rFonts w:ascii="Times New Roman" w:eastAsia="Times New Roman" w:hAnsi="Times New Roman" w:cs="Times New Roman"/>
                <w:sz w:val="24"/>
                <w:szCs w:val="24"/>
              </w:rPr>
              <w:br/>
              <w:t>(d) Any one of the above.</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The defendant is entitled to ‘leave to defend’ in a summary suit if he enters an appearance after service of summons within – </w:t>
            </w:r>
            <w:r w:rsidRPr="00A6440D">
              <w:rPr>
                <w:rFonts w:ascii="Times New Roman" w:eastAsia="Times New Roman" w:hAnsi="Times New Roman" w:cs="Times New Roman"/>
                <w:sz w:val="24"/>
                <w:szCs w:val="24"/>
              </w:rPr>
              <w:br/>
              <w:t>(a) 30 days </w:t>
            </w:r>
            <w:r w:rsidRPr="00A6440D">
              <w:rPr>
                <w:rFonts w:ascii="Times New Roman" w:eastAsia="Times New Roman" w:hAnsi="Times New Roman" w:cs="Times New Roman"/>
                <w:sz w:val="24"/>
                <w:szCs w:val="24"/>
              </w:rPr>
              <w:br/>
              <w:t>(b) 10 days </w:t>
            </w:r>
            <w:r w:rsidRPr="00A6440D">
              <w:rPr>
                <w:rFonts w:ascii="Times New Roman" w:eastAsia="Times New Roman" w:hAnsi="Times New Roman" w:cs="Times New Roman"/>
                <w:sz w:val="24"/>
                <w:szCs w:val="24"/>
              </w:rPr>
              <w:br/>
              <w:t>(c) 60 days </w:t>
            </w:r>
            <w:r w:rsidRPr="00A6440D">
              <w:rPr>
                <w:rFonts w:ascii="Times New Roman" w:eastAsia="Times New Roman" w:hAnsi="Times New Roman" w:cs="Times New Roman"/>
                <w:sz w:val="24"/>
                <w:szCs w:val="24"/>
              </w:rPr>
              <w:br/>
              <w:t>(d) 15 days.</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(viii)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 magistrate of the first class may pass a sentence of – </w:t>
            </w:r>
            <w:r w:rsidRPr="00A6440D">
              <w:rPr>
                <w:rFonts w:ascii="Times New Roman" w:eastAsia="Times New Roman" w:hAnsi="Times New Roman" w:cs="Times New Roman"/>
                <w:sz w:val="24"/>
                <w:szCs w:val="24"/>
              </w:rPr>
              <w:br/>
              <w:t>(a) imprisonment for a term not exceeding 10 years or of fine upto Rs.10,000 or of both </w:t>
            </w:r>
            <w:r w:rsidRPr="00A6440D">
              <w:rPr>
                <w:rFonts w:ascii="Times New Roman" w:eastAsia="Times New Roman" w:hAnsi="Times New Roman" w:cs="Times New Roman"/>
                <w:sz w:val="24"/>
                <w:szCs w:val="24"/>
              </w:rPr>
              <w:br/>
              <w:t>(b) imprisonment for a term not exceeding 5 years or of fine upto Rs.20,000 or of both </w:t>
            </w:r>
            <w:r w:rsidRPr="00A6440D">
              <w:rPr>
                <w:rFonts w:ascii="Times New Roman" w:eastAsia="Times New Roman" w:hAnsi="Times New Roman" w:cs="Times New Roman"/>
                <w:sz w:val="24"/>
                <w:szCs w:val="24"/>
              </w:rPr>
              <w:br/>
              <w:t>(c) imprisonment for a term not exceeding 7 years or of fine upto Rs.15,000 or of both </w:t>
            </w:r>
            <w:r w:rsidRPr="00A6440D">
              <w:rPr>
                <w:rFonts w:ascii="Times New Roman" w:eastAsia="Times New Roman" w:hAnsi="Times New Roman" w:cs="Times New Roman"/>
                <w:sz w:val="24"/>
                <w:szCs w:val="24"/>
              </w:rPr>
              <w:br/>
              <w:t>(d) imprisonment for a term not exceeding 3 years or of fine upto Rs.5,000 or of both.</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(1 mark each)</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(b)</w:t>
            </w:r>
          </w:p>
        </w:tc>
        <w:tc>
          <w:tcPr>
            <w:tcW w:w="0" w:type="auto"/>
            <w:gridSpan w:val="2"/>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State, with reasons in brief, whether the following statements are correct or incorrect:</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xml:space="preserve">The time limit for making an application for setting aside an arbitral award is 2 months from the </w:t>
            </w:r>
            <w:r w:rsidRPr="00A6440D">
              <w:rPr>
                <w:rFonts w:ascii="Times New Roman" w:eastAsia="Times New Roman" w:hAnsi="Times New Roman" w:cs="Times New Roman"/>
                <w:sz w:val="24"/>
                <w:szCs w:val="24"/>
              </w:rPr>
              <w:lastRenderedPageBreak/>
              <w:t>date of receipt of award.</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lastRenderedPageBreak/>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lastRenderedPageBreak/>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Confession made before the magistrate by a co–accused against another co–accused, who is not jointly tried with him for an offence, is admissible as evidence.</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The right to collect rents of immovable property has been recognised as immovable property.</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 declaratory decree is a decree passed to prevent the violation of a negative act.</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(2 marks each)</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7.</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 mill owner employed an independent contractor to construct a reservoir on his land to provide water for his mill. There were old disused mining shafts under the site of the reservoir, which the contractor failed to observe because they were filled with soil. Therefore, the contractor did not block them. When water was filled in the reservoir, it burst through the shaft and flooded the plaintiff’s coal mines on the adjoining land. Is the mill owner liable to compensate for loss or damagee caused to the plaintiff ? Give reasons.</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(6 marks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There was a partition between a Hindu father and his five sons. The deed provided that if any one of the sons wanted to sell his share, he shall sell it to one of his brothers only and not to any stranger. The consideration for that share shall be Rs.1,000 only. Are these conditions valid ? Give reasons.</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(5 marks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Atul was running a school at a certain place. Ali started another school near the school of Atul. As a result of this, most of the students of Atul’s school left his school and joined Ali’s school. Due to competition, Atul had to reduce the fees by Rs.40 per student per quarter and thus he suffered huge monetary loss. Atul filed a suit against Ali in the court for compensation. Is the suit instituted by Atul maintainable ? Give reasons by referring to relevant case law.</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(6 marks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8.</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Atul was running a school at a certain place. Ali started another school near the school of Atul. As a result of this, most of the students of Atul’s school left his school and joined Ali’s school. Due to competition, Atul had to reduce the fees by Rs.40 per student per quarter and thus he suffered huge monetary loss. Atul filed a suit against Ali in the court for compensation. Is the suit instituted by Atul maintainable ? Give reasons by referring to relevant case law.</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(6 marks)</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(b)</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Abhay’s agricultural land was purchased by the government for the purpose of construction of a factory but no duty was paid for this transfer by the government. Abhay wanted to take back his land on the ground that government has not paid the duty and, therefore, no sale deed was executed. Will Abhay succeed ? Givereasons.</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(5 marks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100" w:type="pct"/>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Mahendra, a member of a society, is in arrears of subscription which he is bound to pay according to rules of the society. Can he be sued as stranger under the Societies Registration Act, 1860 ? Give reasons.</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hideMark/>
          </w:tcPr>
          <w:p w:rsidR="00A6440D" w:rsidRPr="00A6440D" w:rsidRDefault="00A6440D" w:rsidP="00A6440D">
            <w:pPr>
              <w:spacing w:after="0" w:line="270" w:lineRule="atLeast"/>
              <w:rPr>
                <w:rFonts w:ascii="Verdana" w:eastAsia="Times New Roman" w:hAnsi="Verdana" w:cs="Times New Roman"/>
                <w:color w:val="808080"/>
                <w:sz w:val="15"/>
                <w:szCs w:val="15"/>
              </w:rPr>
            </w:pPr>
            <w:r w:rsidRPr="00A6440D">
              <w:rPr>
                <w:rFonts w:ascii="Verdana" w:eastAsia="Times New Roman" w:hAnsi="Verdana" w:cs="Times New Roman"/>
                <w:color w:val="808080"/>
                <w:sz w:val="15"/>
                <w:szCs w:val="15"/>
              </w:rPr>
              <w:t>(0)</w:t>
            </w:r>
          </w:p>
        </w:tc>
      </w:tr>
      <w:tr w:rsidR="00A6440D" w:rsidRPr="00A6440D" w:rsidTr="00A6440D">
        <w:trPr>
          <w:tblCellSpacing w:w="0" w:type="dxa"/>
          <w:jc w:val="center"/>
        </w:trPr>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gridSpan w:val="3"/>
            <w:vAlign w:val="center"/>
            <w:hideMark/>
          </w:tcPr>
          <w:p w:rsidR="00A6440D" w:rsidRPr="00A6440D" w:rsidRDefault="00A6440D" w:rsidP="00A6440D">
            <w:pPr>
              <w:spacing w:after="0" w:line="240" w:lineRule="auto"/>
              <w:jc w:val="right"/>
              <w:rPr>
                <w:rFonts w:ascii="Times New Roman" w:eastAsia="Times New Roman" w:hAnsi="Times New Roman" w:cs="Times New Roman"/>
                <w:sz w:val="24"/>
                <w:szCs w:val="24"/>
              </w:rPr>
            </w:pPr>
            <w:r w:rsidRPr="00A6440D">
              <w:rPr>
                <w:rFonts w:ascii="Times New Roman" w:eastAsia="Times New Roman" w:hAnsi="Times New Roman" w:cs="Times New Roman"/>
                <w:i/>
                <w:iCs/>
                <w:sz w:val="24"/>
                <w:szCs w:val="24"/>
              </w:rPr>
              <w:t>(5 marks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c>
          <w:tcPr>
            <w:tcW w:w="0" w:type="auto"/>
            <w:vAlign w:val="center"/>
            <w:hideMark/>
          </w:tcPr>
          <w:p w:rsidR="00A6440D" w:rsidRPr="00A6440D" w:rsidRDefault="00A6440D" w:rsidP="00A6440D">
            <w:pPr>
              <w:spacing w:after="0" w:line="240" w:lineRule="auto"/>
              <w:rPr>
                <w:rFonts w:ascii="Times New Roman" w:eastAsia="Times New Roman" w:hAnsi="Times New Roman" w:cs="Times New Roman"/>
                <w:sz w:val="24"/>
                <w:szCs w:val="24"/>
              </w:rPr>
            </w:pPr>
            <w:r w:rsidRPr="00A6440D">
              <w:rPr>
                <w:rFonts w:ascii="Times New Roman" w:eastAsia="Times New Roman" w:hAnsi="Times New Roman" w:cs="Times New Roman"/>
                <w:sz w:val="24"/>
                <w:szCs w:val="24"/>
              </w:rPr>
              <w:t> </w:t>
            </w:r>
          </w:p>
        </w:tc>
      </w:tr>
    </w:tbl>
    <w:p w:rsidR="009C3197" w:rsidRDefault="009C3197"/>
    <w:sectPr w:rsidR="009C31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197" w:rsidRDefault="009C3197" w:rsidP="00A6440D">
      <w:pPr>
        <w:spacing w:after="0" w:line="240" w:lineRule="auto"/>
      </w:pPr>
      <w:r>
        <w:separator/>
      </w:r>
    </w:p>
  </w:endnote>
  <w:endnote w:type="continuationSeparator" w:id="1">
    <w:p w:rsidR="009C3197" w:rsidRDefault="009C3197" w:rsidP="00A64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D" w:rsidRDefault="00A64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D" w:rsidRDefault="00A644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D" w:rsidRDefault="00A64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197" w:rsidRDefault="009C3197" w:rsidP="00A6440D">
      <w:pPr>
        <w:spacing w:after="0" w:line="240" w:lineRule="auto"/>
      </w:pPr>
      <w:r>
        <w:separator/>
      </w:r>
    </w:p>
  </w:footnote>
  <w:footnote w:type="continuationSeparator" w:id="1">
    <w:p w:rsidR="009C3197" w:rsidRDefault="009C3197" w:rsidP="00A64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D" w:rsidRDefault="00A64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D" w:rsidRDefault="00A6440D">
    <w:pPr>
      <w:pStyle w:val="Header"/>
    </w:pPr>
    <w:r>
      <w:t>December 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D" w:rsidRDefault="00A644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6440D"/>
    <w:rsid w:val="009C3197"/>
    <w:rsid w:val="00A64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6440D"/>
  </w:style>
  <w:style w:type="character" w:styleId="Strong">
    <w:name w:val="Strong"/>
    <w:basedOn w:val="DefaultParagraphFont"/>
    <w:uiPriority w:val="22"/>
    <w:qFormat/>
    <w:rsid w:val="00A6440D"/>
    <w:rPr>
      <w:b/>
      <w:bCs/>
    </w:rPr>
  </w:style>
  <w:style w:type="character" w:styleId="Emphasis">
    <w:name w:val="Emphasis"/>
    <w:basedOn w:val="DefaultParagraphFont"/>
    <w:uiPriority w:val="20"/>
    <w:qFormat/>
    <w:rsid w:val="00A6440D"/>
    <w:rPr>
      <w:i/>
      <w:iCs/>
    </w:rPr>
  </w:style>
  <w:style w:type="character" w:customStyle="1" w:styleId="apple-converted-space">
    <w:name w:val="apple-converted-space"/>
    <w:basedOn w:val="DefaultParagraphFont"/>
    <w:rsid w:val="00A6440D"/>
  </w:style>
  <w:style w:type="character" w:customStyle="1" w:styleId="klink">
    <w:name w:val="klink"/>
    <w:basedOn w:val="DefaultParagraphFont"/>
    <w:rsid w:val="00A6440D"/>
  </w:style>
  <w:style w:type="paragraph" w:styleId="Header">
    <w:name w:val="header"/>
    <w:basedOn w:val="Normal"/>
    <w:link w:val="HeaderChar"/>
    <w:uiPriority w:val="99"/>
    <w:semiHidden/>
    <w:unhideWhenUsed/>
    <w:rsid w:val="00A64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40D"/>
  </w:style>
  <w:style w:type="paragraph" w:styleId="Footer">
    <w:name w:val="footer"/>
    <w:basedOn w:val="Normal"/>
    <w:link w:val="FooterChar"/>
    <w:uiPriority w:val="99"/>
    <w:semiHidden/>
    <w:unhideWhenUsed/>
    <w:rsid w:val="00A644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440D"/>
  </w:style>
</w:styles>
</file>

<file path=word/webSettings.xml><?xml version="1.0" encoding="utf-8"?>
<w:webSettings xmlns:r="http://schemas.openxmlformats.org/officeDocument/2006/relationships" xmlns:w="http://schemas.openxmlformats.org/wordprocessingml/2006/main">
  <w:divs>
    <w:div w:id="731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accountant.com/exam-question-previous-papers/2008-cs-ep-module-i_general-and-commercial-laws-december-2008/p1e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tureaccountant.com/exam-question-previous-papers/2008-cs-ep-module-i_general-and-commercial-laws-december-2008/p1e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futureaccountant.com/exam-question-previous-papers/2008-cs-ep-module-i_general-and-commercial-laws-december-2008/p1e0/" TargetMode="External"/><Relationship Id="rId11" Type="http://schemas.openxmlformats.org/officeDocument/2006/relationships/hyperlink" Target="http://www.futureaccountant.com/exam-question-previous-papers/2008-cs-ep-module-i_general-and-commercial-laws-december-2008/p1e0/"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futureaccountant.com/exam-question-previous-papers/2008-cs-ep-module-i_general-and-commercial-laws-december-2008/p1e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futureaccountant.com/exam-question-previous-papers/2008-cs-ep-module-i_general-and-commercial-laws-december-2008/p1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8579</Characters>
  <Application>Microsoft Office Word</Application>
  <DocSecurity>0</DocSecurity>
  <Lines>71</Lines>
  <Paragraphs>20</Paragraphs>
  <ScaleCrop>false</ScaleCrop>
  <Company>http://sharingcentre.info</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2011-04-06T15:34:00Z</dcterms:created>
  <dcterms:modified xsi:type="dcterms:W3CDTF">2011-04-06T15:34:00Z</dcterms:modified>
</cp:coreProperties>
</file>