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41" w:rsidRDefault="004B0941" w:rsidP="004B0941">
      <w:pPr>
        <w:pStyle w:val="NormalWeb"/>
        <w:jc w:val="center"/>
        <w:rPr>
          <w:rFonts w:ascii="Verdana" w:hAnsi="Verdana"/>
          <w:color w:val="464646"/>
          <w:sz w:val="18"/>
          <w:szCs w:val="18"/>
        </w:rPr>
      </w:pPr>
      <w:r>
        <w:rPr>
          <w:rStyle w:val="Strong"/>
          <w:rFonts w:ascii="Verdana" w:hAnsi="Verdana"/>
          <w:color w:val="464646"/>
          <w:sz w:val="18"/>
          <w:szCs w:val="18"/>
        </w:rPr>
        <w:t>ISC Guess Paper</w:t>
      </w:r>
    </w:p>
    <w:p w:rsidR="004B0941" w:rsidRDefault="004B0941" w:rsidP="004B0941">
      <w:pPr>
        <w:pStyle w:val="NormalWeb"/>
        <w:jc w:val="center"/>
        <w:rPr>
          <w:rFonts w:ascii="Verdana" w:hAnsi="Verdana"/>
          <w:color w:val="464646"/>
          <w:sz w:val="18"/>
          <w:szCs w:val="18"/>
        </w:rPr>
      </w:pPr>
      <w:r>
        <w:rPr>
          <w:rStyle w:val="Strong"/>
          <w:rFonts w:ascii="Verdana" w:hAnsi="Verdana"/>
          <w:color w:val="464646"/>
          <w:sz w:val="18"/>
          <w:szCs w:val="18"/>
        </w:rPr>
        <w:t>Accountancy</w:t>
      </w:r>
    </w:p>
    <w:p w:rsidR="004B0941" w:rsidRDefault="004B0941" w:rsidP="004B0941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Style w:val="Strong"/>
          <w:rFonts w:ascii="Verdana" w:hAnsi="Verdana"/>
          <w:color w:val="464646"/>
          <w:sz w:val="18"/>
          <w:szCs w:val="18"/>
        </w:rPr>
        <w:t>Q1.</w:t>
      </w:r>
      <w:r>
        <w:rPr>
          <w:rStyle w:val="apple-converted-space"/>
          <w:rFonts w:ascii="Verdana" w:hAnsi="Verdana"/>
          <w:b/>
          <w:bCs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Mention two differences between Premium on Issue of Debentures and Premium on Redemption of Debentures.</w:t>
      </w:r>
    </w:p>
    <w:p w:rsidR="004B0941" w:rsidRDefault="004B0941" w:rsidP="004B0941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Style w:val="Strong"/>
          <w:rFonts w:ascii="Verdana" w:hAnsi="Verdana"/>
          <w:color w:val="464646"/>
          <w:sz w:val="18"/>
          <w:szCs w:val="18"/>
        </w:rPr>
        <w:t>Q2.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What was the decision of the Judge in the case of Garner Vs </w:t>
      </w:r>
      <w:proofErr w:type="gramStart"/>
      <w:r>
        <w:rPr>
          <w:rFonts w:ascii="Verdana" w:hAnsi="Verdana"/>
          <w:color w:val="464646"/>
          <w:sz w:val="18"/>
          <w:szCs w:val="18"/>
        </w:rPr>
        <w:t>Murray ?</w:t>
      </w:r>
      <w:proofErr w:type="gramEnd"/>
    </w:p>
    <w:p w:rsidR="004B0941" w:rsidRDefault="004B0941" w:rsidP="004B0941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Style w:val="Strong"/>
          <w:rFonts w:ascii="Verdana" w:hAnsi="Verdana"/>
          <w:color w:val="464646"/>
          <w:sz w:val="18"/>
          <w:szCs w:val="18"/>
        </w:rPr>
        <w:t>Q3.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Name the provisions of the Partnership Act with respect to the Interest on Capital of Partners and the Profit Sharing Ratio between Partners.</w:t>
      </w:r>
    </w:p>
    <w:p w:rsidR="004B0941" w:rsidRDefault="004B0941" w:rsidP="004B0941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Style w:val="Strong"/>
          <w:rFonts w:ascii="Verdana" w:hAnsi="Verdana"/>
          <w:color w:val="464646"/>
          <w:sz w:val="18"/>
          <w:szCs w:val="18"/>
        </w:rPr>
        <w:t>Q4.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Name four items which are credited to the account of a deceased partner while calculating the amount due to his legal representatives.</w:t>
      </w:r>
    </w:p>
    <w:p w:rsidR="004B0941" w:rsidRDefault="004B0941" w:rsidP="004B0941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Q5.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State two differences between a consignment account and a joint venture account.</w:t>
      </w:r>
    </w:p>
    <w:p w:rsidR="004B0941" w:rsidRDefault="004B0941" w:rsidP="004B0941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Q6.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Name the two accounts that are responsible for completing the double entity under sectional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br/>
        <w:t xml:space="preserve">balancing system. State in which ledger they are </w:t>
      </w:r>
      <w:proofErr w:type="gramStart"/>
      <w:r>
        <w:rPr>
          <w:rFonts w:ascii="Verdana" w:hAnsi="Verdana"/>
          <w:color w:val="464646"/>
          <w:sz w:val="18"/>
          <w:szCs w:val="18"/>
        </w:rPr>
        <w:t>kept ?</w:t>
      </w:r>
      <w:proofErr w:type="gramEnd"/>
    </w:p>
    <w:p w:rsidR="004B0941" w:rsidRDefault="004B0941" w:rsidP="004B0941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Q7.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State the closing entries </w:t>
      </w:r>
      <w:proofErr w:type="gramStart"/>
      <w:r>
        <w:rPr>
          <w:rFonts w:ascii="Verdana" w:hAnsi="Verdana"/>
          <w:color w:val="464646"/>
          <w:sz w:val="18"/>
          <w:szCs w:val="18"/>
        </w:rPr>
        <w:t>for :</w:t>
      </w:r>
      <w:proofErr w:type="gramEnd"/>
    </w:p>
    <w:p w:rsidR="004B0941" w:rsidRDefault="004B0941" w:rsidP="004B0941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        (a) </w:t>
      </w:r>
      <w:proofErr w:type="gramStart"/>
      <w:r>
        <w:rPr>
          <w:rFonts w:ascii="Verdana" w:hAnsi="Verdana"/>
          <w:color w:val="464646"/>
          <w:sz w:val="18"/>
          <w:szCs w:val="18"/>
        </w:rPr>
        <w:t>rent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paid to a partner;</w:t>
      </w:r>
    </w:p>
    <w:p w:rsidR="004B0941" w:rsidRDefault="004B0941" w:rsidP="004B0941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        (b) </w:t>
      </w:r>
      <w:proofErr w:type="gramStart"/>
      <w:r>
        <w:rPr>
          <w:rFonts w:ascii="Verdana" w:hAnsi="Verdana"/>
          <w:color w:val="464646"/>
          <w:sz w:val="18"/>
          <w:szCs w:val="18"/>
        </w:rPr>
        <w:t>interest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on. </w:t>
      </w:r>
      <w:proofErr w:type="gramStart"/>
      <w:r>
        <w:rPr>
          <w:rFonts w:ascii="Verdana" w:hAnsi="Verdana"/>
          <w:color w:val="464646"/>
          <w:sz w:val="18"/>
          <w:szCs w:val="18"/>
        </w:rPr>
        <w:t>loan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allowed to partners.</w:t>
      </w:r>
    </w:p>
    <w:p w:rsidR="004B0941" w:rsidRDefault="004B0941" w:rsidP="004B0941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Q8.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Explain any two ways of am mortising the Discount on Issue of Debentures.</w:t>
      </w:r>
    </w:p>
    <w:p w:rsidR="004B0941" w:rsidRDefault="004B0941" w:rsidP="004B0941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Q9. How are the creditors of a firm settled when all the partners are declared </w:t>
      </w:r>
      <w:proofErr w:type="gramStart"/>
      <w:r>
        <w:rPr>
          <w:rFonts w:ascii="Verdana" w:hAnsi="Verdana"/>
          <w:color w:val="464646"/>
          <w:sz w:val="18"/>
          <w:szCs w:val="18"/>
        </w:rPr>
        <w:t>insolvent ?</w:t>
      </w:r>
      <w:proofErr w:type="gramEnd"/>
    </w:p>
    <w:p w:rsidR="004B0941" w:rsidRPr="004B0941" w:rsidRDefault="004B0941" w:rsidP="004B09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4B0941">
        <w:rPr>
          <w:rFonts w:ascii="Verdana" w:eastAsia="Times New Roman" w:hAnsi="Verdana" w:cs="Times New Roman"/>
          <w:b/>
          <w:bCs/>
          <w:color w:val="464646"/>
          <w:sz w:val="18"/>
        </w:rPr>
        <w:t xml:space="preserve">Q10. The Balance Sheet of </w:t>
      </w:r>
      <w:proofErr w:type="spellStart"/>
      <w:proofErr w:type="gramStart"/>
      <w:r w:rsidRPr="004B0941">
        <w:rPr>
          <w:rFonts w:ascii="Verdana" w:eastAsia="Times New Roman" w:hAnsi="Verdana" w:cs="Times New Roman"/>
          <w:b/>
          <w:bCs/>
          <w:color w:val="464646"/>
          <w:sz w:val="18"/>
        </w:rPr>
        <w:t>Amar</w:t>
      </w:r>
      <w:proofErr w:type="spellEnd"/>
      <w:r w:rsidRPr="004B0941">
        <w:rPr>
          <w:rFonts w:ascii="Verdana" w:eastAsia="Times New Roman" w:hAnsi="Verdana" w:cs="Times New Roman"/>
          <w:b/>
          <w:bCs/>
          <w:color w:val="464646"/>
          <w:sz w:val="18"/>
        </w:rPr>
        <w:t xml:space="preserve"> ,</w:t>
      </w:r>
      <w:proofErr w:type="gramEnd"/>
      <w:r w:rsidRPr="004B0941">
        <w:rPr>
          <w:rFonts w:ascii="Verdana" w:eastAsia="Times New Roman" w:hAnsi="Verdana" w:cs="Times New Roman"/>
          <w:b/>
          <w:bCs/>
          <w:color w:val="464646"/>
          <w:sz w:val="18"/>
        </w:rPr>
        <w:t xml:space="preserve"> </w:t>
      </w:r>
      <w:proofErr w:type="spellStart"/>
      <w:r w:rsidRPr="004B0941">
        <w:rPr>
          <w:rFonts w:ascii="Verdana" w:eastAsia="Times New Roman" w:hAnsi="Verdana" w:cs="Times New Roman"/>
          <w:b/>
          <w:bCs/>
          <w:color w:val="464646"/>
          <w:sz w:val="18"/>
        </w:rPr>
        <w:t>Akber</w:t>
      </w:r>
      <w:proofErr w:type="spellEnd"/>
      <w:r w:rsidRPr="004B0941">
        <w:rPr>
          <w:rFonts w:ascii="Verdana" w:eastAsia="Times New Roman" w:hAnsi="Verdana" w:cs="Times New Roman"/>
          <w:b/>
          <w:bCs/>
          <w:color w:val="464646"/>
          <w:sz w:val="18"/>
        </w:rPr>
        <w:t xml:space="preserve"> and </w:t>
      </w:r>
      <w:proofErr w:type="spellStart"/>
      <w:r w:rsidRPr="004B0941">
        <w:rPr>
          <w:rFonts w:ascii="Verdana" w:eastAsia="Times New Roman" w:hAnsi="Verdana" w:cs="Times New Roman"/>
          <w:b/>
          <w:bCs/>
          <w:color w:val="464646"/>
          <w:sz w:val="18"/>
        </w:rPr>
        <w:t>Anthoni</w:t>
      </w:r>
      <w:proofErr w:type="spellEnd"/>
      <w:r w:rsidRPr="004B0941">
        <w:rPr>
          <w:rFonts w:ascii="Verdana" w:eastAsia="Times New Roman" w:hAnsi="Verdana" w:cs="Times New Roman"/>
          <w:b/>
          <w:bCs/>
          <w:color w:val="464646"/>
          <w:sz w:val="18"/>
        </w:rPr>
        <w:t xml:space="preserve"> who where sharing profit in the ratio of 4:3:2 stood as following on 31st December 2004.</w:t>
      </w:r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> </w:t>
      </w:r>
      <w:bookmarkStart w:id="0" w:name="Pg1"/>
      <w:bookmarkEnd w:id="0"/>
    </w:p>
    <w:p w:rsidR="004B0941" w:rsidRPr="004B0941" w:rsidRDefault="004B0941" w:rsidP="004B094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4B0941">
        <w:rPr>
          <w:rFonts w:ascii="Verdana" w:eastAsia="Times New Roman" w:hAnsi="Verdana" w:cs="Times New Roman"/>
          <w:b/>
          <w:bCs/>
          <w:color w:val="464646"/>
          <w:sz w:val="18"/>
        </w:rPr>
        <w:t>Balance Sheet</w:t>
      </w:r>
    </w:p>
    <w:p w:rsidR="004B0941" w:rsidRPr="004B0941" w:rsidRDefault="004B0941" w:rsidP="004B094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64646"/>
          <w:sz w:val="18"/>
          <w:szCs w:val="18"/>
        </w:rPr>
      </w:pPr>
      <w:proofErr w:type="gramStart"/>
      <w:r w:rsidRPr="004B0941">
        <w:rPr>
          <w:rFonts w:ascii="Verdana" w:eastAsia="Times New Roman" w:hAnsi="Verdana" w:cs="Times New Roman"/>
          <w:b/>
          <w:bCs/>
          <w:color w:val="464646"/>
          <w:sz w:val="18"/>
        </w:rPr>
        <w:t>as</w:t>
      </w:r>
      <w:proofErr w:type="gramEnd"/>
      <w:r w:rsidRPr="004B0941">
        <w:rPr>
          <w:rFonts w:ascii="Verdana" w:eastAsia="Times New Roman" w:hAnsi="Verdana" w:cs="Times New Roman"/>
          <w:b/>
          <w:bCs/>
          <w:color w:val="464646"/>
          <w:sz w:val="18"/>
        </w:rPr>
        <w:t xml:space="preserve"> on 31st December 2004</w:t>
      </w:r>
    </w:p>
    <w:tbl>
      <w:tblPr>
        <w:tblW w:w="84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36"/>
        <w:gridCol w:w="1144"/>
        <w:gridCol w:w="2981"/>
        <w:gridCol w:w="1129"/>
      </w:tblGrid>
      <w:tr w:rsidR="004B0941" w:rsidRPr="004B0941" w:rsidTr="004B0941">
        <w:trPr>
          <w:tblCellSpacing w:w="0" w:type="dxa"/>
        </w:trPr>
        <w:tc>
          <w:tcPr>
            <w:tcW w:w="3225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Liabilities</w:t>
            </w:r>
          </w:p>
        </w:tc>
        <w:tc>
          <w:tcPr>
            <w:tcW w:w="1140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Amount Rs.</w:t>
            </w:r>
          </w:p>
        </w:tc>
        <w:tc>
          <w:tcPr>
            <w:tcW w:w="2970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Assets</w:t>
            </w:r>
          </w:p>
        </w:tc>
        <w:tc>
          <w:tcPr>
            <w:tcW w:w="1125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Amount Rs.</w:t>
            </w:r>
          </w:p>
        </w:tc>
      </w:tr>
      <w:tr w:rsidR="004B0941" w:rsidRPr="004B0941" w:rsidTr="004B0941">
        <w:trPr>
          <w:tblCellSpacing w:w="0" w:type="dxa"/>
        </w:trPr>
        <w:tc>
          <w:tcPr>
            <w:tcW w:w="3225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Creditors</w:t>
            </w:r>
          </w:p>
        </w:tc>
        <w:tc>
          <w:tcPr>
            <w:tcW w:w="1140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19,000</w:t>
            </w:r>
          </w:p>
        </w:tc>
        <w:tc>
          <w:tcPr>
            <w:tcW w:w="2970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Stock</w:t>
            </w:r>
          </w:p>
        </w:tc>
        <w:tc>
          <w:tcPr>
            <w:tcW w:w="1125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25,000</w:t>
            </w:r>
          </w:p>
        </w:tc>
      </w:tr>
      <w:tr w:rsidR="004B0941" w:rsidRPr="004B0941" w:rsidTr="004B0941">
        <w:trPr>
          <w:tblCellSpacing w:w="0" w:type="dxa"/>
        </w:trPr>
        <w:tc>
          <w:tcPr>
            <w:tcW w:w="3225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Provident Fund</w:t>
            </w:r>
          </w:p>
        </w:tc>
        <w:tc>
          <w:tcPr>
            <w:tcW w:w="1140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12,500</w:t>
            </w:r>
          </w:p>
        </w:tc>
        <w:tc>
          <w:tcPr>
            <w:tcW w:w="2970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Cash at Bank</w:t>
            </w:r>
          </w:p>
        </w:tc>
        <w:tc>
          <w:tcPr>
            <w:tcW w:w="1125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2,500</w:t>
            </w:r>
          </w:p>
        </w:tc>
      </w:tr>
      <w:tr w:rsidR="004B0941" w:rsidRPr="004B0941" w:rsidTr="004B0941">
        <w:trPr>
          <w:tblCellSpacing w:w="0" w:type="dxa"/>
        </w:trPr>
        <w:tc>
          <w:tcPr>
            <w:tcW w:w="3225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General Reserve</w:t>
            </w:r>
          </w:p>
        </w:tc>
        <w:tc>
          <w:tcPr>
            <w:tcW w:w="1140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4,500</w:t>
            </w:r>
          </w:p>
        </w:tc>
        <w:tc>
          <w:tcPr>
            <w:tcW w:w="2970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Debtors</w:t>
            </w:r>
          </w:p>
        </w:tc>
        <w:tc>
          <w:tcPr>
            <w:tcW w:w="1125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15,500</w:t>
            </w:r>
          </w:p>
        </w:tc>
      </w:tr>
      <w:tr w:rsidR="004B0941" w:rsidRPr="004B0941" w:rsidTr="004B0941">
        <w:trPr>
          <w:tblCellSpacing w:w="0" w:type="dxa"/>
        </w:trPr>
        <w:tc>
          <w:tcPr>
            <w:tcW w:w="3225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Capital:</w:t>
            </w:r>
          </w:p>
        </w:tc>
        <w:tc>
          <w:tcPr>
            <w:tcW w:w="1140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2970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Advertising Expenditure A/c</w:t>
            </w:r>
          </w:p>
        </w:tc>
        <w:tc>
          <w:tcPr>
            <w:tcW w:w="1125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9,000</w:t>
            </w:r>
          </w:p>
        </w:tc>
      </w:tr>
      <w:tr w:rsidR="004B0941" w:rsidRPr="004B0941" w:rsidTr="004B0941">
        <w:trPr>
          <w:tblCellSpacing w:w="0" w:type="dxa"/>
        </w:trPr>
        <w:tc>
          <w:tcPr>
            <w:tcW w:w="3225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proofErr w:type="spellStart"/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Amar</w:t>
            </w:r>
            <w:proofErr w:type="spellEnd"/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        -      40,000</w:t>
            </w:r>
          </w:p>
        </w:tc>
        <w:tc>
          <w:tcPr>
            <w:tcW w:w="1140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2970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Plant &amp; Machinery</w:t>
            </w:r>
          </w:p>
        </w:tc>
        <w:tc>
          <w:tcPr>
            <w:tcW w:w="1125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34,000</w:t>
            </w:r>
          </w:p>
        </w:tc>
      </w:tr>
      <w:tr w:rsidR="004B0941" w:rsidRPr="004B0941" w:rsidTr="004B0941">
        <w:trPr>
          <w:tblCellSpacing w:w="0" w:type="dxa"/>
        </w:trPr>
        <w:tc>
          <w:tcPr>
            <w:tcW w:w="3225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proofErr w:type="spellStart"/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Akber</w:t>
            </w:r>
            <w:proofErr w:type="spellEnd"/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      -       30,000</w:t>
            </w:r>
          </w:p>
        </w:tc>
        <w:tc>
          <w:tcPr>
            <w:tcW w:w="1140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2970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Building</w:t>
            </w:r>
          </w:p>
        </w:tc>
        <w:tc>
          <w:tcPr>
            <w:tcW w:w="1125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</w:rPr>
              <w:t>45,000</w:t>
            </w:r>
          </w:p>
        </w:tc>
      </w:tr>
      <w:tr w:rsidR="004B0941" w:rsidRPr="004B0941" w:rsidTr="004B0941">
        <w:trPr>
          <w:tblCellSpacing w:w="0" w:type="dxa"/>
        </w:trPr>
        <w:tc>
          <w:tcPr>
            <w:tcW w:w="3225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proofErr w:type="spellStart"/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Anthoni</w:t>
            </w:r>
            <w:proofErr w:type="spellEnd"/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      -      </w:t>
            </w:r>
            <w:r w:rsidRPr="004B0941">
              <w:rPr>
                <w:rFonts w:ascii="Arial" w:eastAsia="Times New Roman" w:hAnsi="Arial" w:cs="Arial"/>
                <w:color w:val="464646"/>
                <w:sz w:val="18"/>
              </w:rPr>
              <w:t> </w:t>
            </w: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</w:rPr>
              <w:t>25,000</w:t>
            </w:r>
          </w:p>
        </w:tc>
        <w:tc>
          <w:tcPr>
            <w:tcW w:w="1140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</w:rPr>
              <w:t>95,000</w:t>
            </w:r>
          </w:p>
        </w:tc>
        <w:tc>
          <w:tcPr>
            <w:tcW w:w="2970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 </w:t>
            </w:r>
          </w:p>
        </w:tc>
      </w:tr>
      <w:tr w:rsidR="004B0941" w:rsidRPr="004B0941" w:rsidTr="004B0941">
        <w:trPr>
          <w:tblCellSpacing w:w="0" w:type="dxa"/>
        </w:trPr>
        <w:tc>
          <w:tcPr>
            <w:tcW w:w="3225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b/>
                <w:bCs/>
                <w:color w:val="464646"/>
                <w:sz w:val="18"/>
              </w:rPr>
              <w:t>1,31,000</w:t>
            </w:r>
          </w:p>
        </w:tc>
        <w:tc>
          <w:tcPr>
            <w:tcW w:w="2970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4B0941" w:rsidRPr="004B0941" w:rsidRDefault="004B0941" w:rsidP="004B094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4B0941">
              <w:rPr>
                <w:rFonts w:ascii="Arial" w:eastAsia="Times New Roman" w:hAnsi="Arial" w:cs="Arial"/>
                <w:b/>
                <w:bCs/>
                <w:color w:val="464646"/>
                <w:sz w:val="18"/>
              </w:rPr>
              <w:t>1,31,000</w:t>
            </w:r>
          </w:p>
        </w:tc>
      </w:tr>
    </w:tbl>
    <w:p w:rsidR="004B0941" w:rsidRPr="004B0941" w:rsidRDefault="004B0941" w:rsidP="004B09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proofErr w:type="spellStart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>Akber</w:t>
      </w:r>
      <w:proofErr w:type="spellEnd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 xml:space="preserve"> retired on the above date on the following </w:t>
      </w:r>
      <w:proofErr w:type="gramStart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>terms :</w:t>
      </w:r>
      <w:proofErr w:type="gramEnd"/>
    </w:p>
    <w:p w:rsidR="004B0941" w:rsidRPr="004B0941" w:rsidRDefault="004B0941" w:rsidP="004B09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>(</w:t>
      </w:r>
      <w:proofErr w:type="spellStart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>i</w:t>
      </w:r>
      <w:proofErr w:type="spellEnd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>) The assets and liabilities need not be revalued.</w:t>
      </w:r>
    </w:p>
    <w:p w:rsidR="004B0941" w:rsidRPr="004B0941" w:rsidRDefault="004B0941" w:rsidP="004B09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lastRenderedPageBreak/>
        <w:t>(ii) The firm had a Joint Life Policy for Rs. 60, 000 which was surrendered for Rs. 13,500.</w:t>
      </w:r>
    </w:p>
    <w:p w:rsidR="004B0941" w:rsidRPr="004B0941" w:rsidRDefault="004B0941" w:rsidP="004B09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 xml:space="preserve">(iii) The Goodwill of the entire firm be fixed at Rs. 10,800 and </w:t>
      </w:r>
      <w:proofErr w:type="spellStart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>Akber’s</w:t>
      </w:r>
      <w:proofErr w:type="spellEnd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 xml:space="preserve"> share of the same be adjusted into the accounts of </w:t>
      </w:r>
      <w:proofErr w:type="spellStart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>Amar</w:t>
      </w:r>
      <w:proofErr w:type="spellEnd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 xml:space="preserve"> and </w:t>
      </w:r>
      <w:proofErr w:type="spellStart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>Anthoni</w:t>
      </w:r>
      <w:proofErr w:type="spellEnd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 xml:space="preserve"> who are to share the profits in future in the ratio of 5: 3.</w:t>
      </w:r>
    </w:p>
    <w:p w:rsidR="004B0941" w:rsidRPr="004B0941" w:rsidRDefault="004B0941" w:rsidP="004B09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 xml:space="preserve">(iv) The entire capital of the new firm </w:t>
      </w:r>
      <w:proofErr w:type="gramStart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>be</w:t>
      </w:r>
      <w:proofErr w:type="gramEnd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 xml:space="preserve"> fixed at Rs. 56,000 and the capitals of </w:t>
      </w:r>
      <w:proofErr w:type="spellStart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>Amar</w:t>
      </w:r>
      <w:proofErr w:type="spellEnd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 xml:space="preserve"> and </w:t>
      </w:r>
      <w:proofErr w:type="spellStart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>Anthoni</w:t>
      </w:r>
      <w:proofErr w:type="spellEnd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 xml:space="preserve"> to be proportionate to their new profit sharing ratio. For this purpose actual cash is to be brought in or paid off.</w:t>
      </w:r>
    </w:p>
    <w:p w:rsidR="004B0941" w:rsidRPr="004B0941" w:rsidRDefault="004B0941" w:rsidP="004B09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proofErr w:type="gramStart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>Prepare :</w:t>
      </w:r>
      <w:proofErr w:type="gramEnd"/>
    </w:p>
    <w:p w:rsidR="004B0941" w:rsidRPr="004B0941" w:rsidRDefault="004B0941" w:rsidP="004B09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 xml:space="preserve">(a) The Capital Accounts of </w:t>
      </w:r>
      <w:proofErr w:type="spellStart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>Amar</w:t>
      </w:r>
      <w:proofErr w:type="spellEnd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 xml:space="preserve"> and </w:t>
      </w:r>
      <w:proofErr w:type="spellStart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>Anthoni</w:t>
      </w:r>
      <w:proofErr w:type="spellEnd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 xml:space="preserve"> after the retirement of </w:t>
      </w:r>
      <w:proofErr w:type="spellStart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>Akber</w:t>
      </w:r>
      <w:proofErr w:type="spellEnd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>.</w:t>
      </w:r>
    </w:p>
    <w:p w:rsidR="004B0941" w:rsidRPr="004B0941" w:rsidRDefault="004B0941" w:rsidP="004B09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 xml:space="preserve">(b) The Balance Sheet of </w:t>
      </w:r>
      <w:proofErr w:type="spellStart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>Amar</w:t>
      </w:r>
      <w:proofErr w:type="spellEnd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 xml:space="preserve"> and </w:t>
      </w:r>
      <w:proofErr w:type="spellStart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>Anthoni</w:t>
      </w:r>
      <w:proofErr w:type="spellEnd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 xml:space="preserve"> after the retirement of </w:t>
      </w:r>
      <w:proofErr w:type="spellStart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>Akber</w:t>
      </w:r>
      <w:proofErr w:type="spellEnd"/>
      <w:r w:rsidRPr="004B0941">
        <w:rPr>
          <w:rFonts w:ascii="Verdana" w:eastAsia="Times New Roman" w:hAnsi="Verdana" w:cs="Times New Roman"/>
          <w:color w:val="464646"/>
          <w:sz w:val="18"/>
          <w:szCs w:val="18"/>
        </w:rPr>
        <w:t>.</w:t>
      </w:r>
    </w:p>
    <w:p w:rsidR="00893472" w:rsidRDefault="00893472"/>
    <w:sectPr w:rsidR="00893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0941"/>
    <w:rsid w:val="004B0941"/>
    <w:rsid w:val="0089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0941"/>
    <w:rPr>
      <w:b/>
      <w:bCs/>
    </w:rPr>
  </w:style>
  <w:style w:type="character" w:customStyle="1" w:styleId="apple-converted-space">
    <w:name w:val="apple-converted-space"/>
    <w:basedOn w:val="DefaultParagraphFont"/>
    <w:rsid w:val="004B0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Company>http://sharingcentre.info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2011-03-11T09:05:00Z</dcterms:created>
  <dcterms:modified xsi:type="dcterms:W3CDTF">2011-03-11T09:06:00Z</dcterms:modified>
</cp:coreProperties>
</file>